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EA76B" w14:textId="77777777" w:rsidR="002C63C0" w:rsidRPr="002C63C0" w:rsidRDefault="002C63C0" w:rsidP="002C63C0">
      <w:pPr>
        <w:spacing w:before="240" w:after="60"/>
        <w:jc w:val="center"/>
        <w:outlineLvl w:val="4"/>
        <w:rPr>
          <w:bCs/>
          <w:iCs/>
        </w:rPr>
      </w:pPr>
      <w:r w:rsidRPr="002C63C0">
        <w:rPr>
          <w:b/>
          <w:bCs/>
          <w:iCs/>
        </w:rPr>
        <w:t xml:space="preserve">ЛИЦЕНЗИОННОЕ СОГЛАШЕНИЕ </w:t>
      </w:r>
    </w:p>
    <w:p w14:paraId="4C59A097" w14:textId="77777777" w:rsidR="002C63C0" w:rsidRPr="002C63C0" w:rsidRDefault="002C63C0" w:rsidP="002C63C0">
      <w:pPr>
        <w:spacing w:before="120"/>
        <w:jc w:val="both"/>
        <w:rPr>
          <w:snapToGrid w:val="0"/>
          <w:sz w:val="22"/>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998"/>
      </w:tblGrid>
      <w:tr w:rsidR="002852B4" w:rsidRPr="002C63C0" w14:paraId="7D22619E" w14:textId="77777777" w:rsidTr="00A870CB">
        <w:trPr>
          <w:trHeight w:val="431"/>
          <w:tblHeader/>
        </w:trPr>
        <w:tc>
          <w:tcPr>
            <w:tcW w:w="2778" w:type="dxa"/>
            <w:vAlign w:val="center"/>
          </w:tcPr>
          <w:p w14:paraId="1DFABF00" w14:textId="77777777" w:rsidR="002852B4" w:rsidRPr="002C63C0" w:rsidRDefault="002852B4" w:rsidP="00A870CB">
            <w:pPr>
              <w:ind w:firstLine="400"/>
              <w:jc w:val="center"/>
              <w:rPr>
                <w:b/>
              </w:rPr>
            </w:pPr>
            <w:r w:rsidRPr="002C63C0">
              <w:rPr>
                <w:b/>
              </w:rPr>
              <w:t>Понятие</w:t>
            </w:r>
          </w:p>
        </w:tc>
        <w:tc>
          <w:tcPr>
            <w:tcW w:w="6998" w:type="dxa"/>
            <w:tcBorders>
              <w:bottom w:val="single" w:sz="4" w:space="0" w:color="auto"/>
            </w:tcBorders>
            <w:vAlign w:val="center"/>
          </w:tcPr>
          <w:p w14:paraId="377E2370" w14:textId="77777777" w:rsidR="002852B4" w:rsidRPr="002C63C0" w:rsidRDefault="002852B4" w:rsidP="00A870CB">
            <w:pPr>
              <w:ind w:firstLine="400"/>
              <w:jc w:val="center"/>
              <w:rPr>
                <w:b/>
              </w:rPr>
            </w:pPr>
            <w:r w:rsidRPr="002C63C0">
              <w:rPr>
                <w:b/>
              </w:rPr>
              <w:t>Определение</w:t>
            </w:r>
          </w:p>
        </w:tc>
      </w:tr>
      <w:tr w:rsidR="002852B4" w:rsidRPr="002C63C0" w14:paraId="2266D54A" w14:textId="77777777" w:rsidTr="00A870CB">
        <w:trPr>
          <w:trHeight w:val="181"/>
        </w:trPr>
        <w:tc>
          <w:tcPr>
            <w:tcW w:w="2778" w:type="dxa"/>
            <w:vAlign w:val="center"/>
          </w:tcPr>
          <w:p w14:paraId="2B07D3C0" w14:textId="77777777" w:rsidR="002852B4" w:rsidRPr="002C63C0" w:rsidRDefault="002852B4" w:rsidP="00A870CB">
            <w:r w:rsidRPr="002C63C0">
              <w:t>Программы для ЭВМ</w:t>
            </w:r>
          </w:p>
        </w:tc>
        <w:tc>
          <w:tcPr>
            <w:tcW w:w="6998" w:type="dxa"/>
            <w:tcBorders>
              <w:top w:val="nil"/>
            </w:tcBorders>
            <w:vAlign w:val="center"/>
          </w:tcPr>
          <w:p w14:paraId="66532F36" w14:textId="77777777" w:rsidR="002852B4" w:rsidRPr="002C63C0" w:rsidRDefault="002852B4" w:rsidP="00A870CB">
            <w:pPr>
              <w:numPr>
                <w:ilvl w:val="0"/>
                <w:numId w:val="40"/>
              </w:numPr>
              <w:spacing w:before="120" w:line="259" w:lineRule="auto"/>
              <w:jc w:val="both"/>
              <w:rPr>
                <w:color w:val="000000"/>
              </w:rPr>
            </w:pPr>
            <w:r w:rsidRPr="002C63C0">
              <w:rPr>
                <w:color w:val="000000"/>
              </w:rPr>
              <w:t>…</w:t>
            </w:r>
          </w:p>
          <w:p w14:paraId="204708E1" w14:textId="77777777" w:rsidR="002852B4" w:rsidRPr="002C63C0" w:rsidRDefault="002852B4" w:rsidP="00A870CB">
            <w:pPr>
              <w:numPr>
                <w:ilvl w:val="0"/>
                <w:numId w:val="40"/>
              </w:numPr>
              <w:spacing w:before="120" w:line="259" w:lineRule="auto"/>
              <w:jc w:val="both"/>
              <w:rPr>
                <w:color w:val="000000"/>
              </w:rPr>
            </w:pPr>
            <w:r w:rsidRPr="002C63C0">
              <w:rPr>
                <w:color w:val="000000"/>
              </w:rPr>
              <w:t>…</w:t>
            </w:r>
          </w:p>
          <w:p w14:paraId="602C668B" w14:textId="77777777" w:rsidR="002852B4" w:rsidRPr="002C63C0" w:rsidRDefault="002852B4" w:rsidP="00A870CB">
            <w:pPr>
              <w:numPr>
                <w:ilvl w:val="0"/>
                <w:numId w:val="40"/>
              </w:numPr>
              <w:spacing w:before="120" w:line="259" w:lineRule="auto"/>
              <w:jc w:val="both"/>
              <w:rPr>
                <w:color w:val="000000"/>
              </w:rPr>
            </w:pPr>
            <w:r w:rsidRPr="002C63C0">
              <w:rPr>
                <w:color w:val="000000"/>
              </w:rPr>
              <w:t>…</w:t>
            </w:r>
          </w:p>
        </w:tc>
      </w:tr>
      <w:tr w:rsidR="00977A4B" w:rsidRPr="002C63C0" w14:paraId="52786CCD" w14:textId="77777777" w:rsidTr="00A870CB">
        <w:tc>
          <w:tcPr>
            <w:tcW w:w="2778" w:type="dxa"/>
            <w:vAlign w:val="center"/>
          </w:tcPr>
          <w:p w14:paraId="5E1135D9" w14:textId="77777777" w:rsidR="00977A4B" w:rsidRPr="002C63C0" w:rsidRDefault="00977A4B" w:rsidP="00977A4B">
            <w:pPr>
              <w:rPr>
                <w:lang w:val="en-US"/>
              </w:rPr>
            </w:pPr>
            <w:r w:rsidRPr="002C63C0">
              <w:t>СK-11</w:t>
            </w:r>
          </w:p>
        </w:tc>
        <w:tc>
          <w:tcPr>
            <w:tcW w:w="6998" w:type="dxa"/>
          </w:tcPr>
          <w:p w14:paraId="554BA7FD" w14:textId="3927C0A3" w:rsidR="00977A4B" w:rsidRPr="002C63C0" w:rsidRDefault="00977A4B" w:rsidP="00977A4B">
            <w:pPr>
              <w:jc w:val="both"/>
            </w:pPr>
            <w:r w:rsidRPr="00ED74C1">
              <w:t>«Информационно-техническая платформа с изменяемым набором приложений для создания автоматизированных систем оперативно-диспетчерского и технологического управления объектами электроэнергетики СK-11» – это торговое и техническое название комплекта обособленных программ для ЭВМ, каждая из которых лицензируется отдельно, но может работать в комплексе с другими программами для ЭВМ из состава СK-11 и представляет собой автоматизированную систему управления производством, передачей и распределением электроэнергии, систем управления ремонтами и эксплуатацией, систем управления отказами, систем подготовки оперативного персонала энергосистем.</w:t>
            </w:r>
          </w:p>
        </w:tc>
      </w:tr>
      <w:tr w:rsidR="002852B4" w:rsidRPr="002C63C0" w14:paraId="7B8D4026" w14:textId="77777777" w:rsidTr="00A870CB">
        <w:tc>
          <w:tcPr>
            <w:tcW w:w="2778" w:type="dxa"/>
            <w:vAlign w:val="center"/>
          </w:tcPr>
          <w:p w14:paraId="70F2D0C8" w14:textId="77777777" w:rsidR="002852B4" w:rsidRPr="002C63C0" w:rsidRDefault="002852B4" w:rsidP="00A870CB">
            <w:r w:rsidRPr="002C63C0">
              <w:t>Лицензионное соглашение</w:t>
            </w:r>
          </w:p>
        </w:tc>
        <w:tc>
          <w:tcPr>
            <w:tcW w:w="6998" w:type="dxa"/>
          </w:tcPr>
          <w:p w14:paraId="2E408078" w14:textId="77777777" w:rsidR="002852B4" w:rsidRPr="002C63C0" w:rsidRDefault="002852B4" w:rsidP="00A870CB">
            <w:pPr>
              <w:jc w:val="both"/>
            </w:pPr>
            <w:r w:rsidRPr="002C63C0">
              <w:t>Настоящее соглашение о передаче права использования Программ для ЭВМ.</w:t>
            </w:r>
          </w:p>
        </w:tc>
      </w:tr>
      <w:tr w:rsidR="002852B4" w:rsidRPr="002C63C0" w14:paraId="20886500" w14:textId="77777777" w:rsidTr="00A870CB">
        <w:tc>
          <w:tcPr>
            <w:tcW w:w="2778" w:type="dxa"/>
            <w:vAlign w:val="center"/>
          </w:tcPr>
          <w:p w14:paraId="74E2F9B9" w14:textId="77777777" w:rsidR="002852B4" w:rsidRPr="002C63C0" w:rsidRDefault="002852B4" w:rsidP="00A870CB">
            <w:r w:rsidRPr="002C63C0">
              <w:t>Лицензиар (правообладатель)</w:t>
            </w:r>
          </w:p>
        </w:tc>
        <w:tc>
          <w:tcPr>
            <w:tcW w:w="6998" w:type="dxa"/>
          </w:tcPr>
          <w:p w14:paraId="42931B3A" w14:textId="77777777" w:rsidR="002852B4" w:rsidRPr="002C63C0" w:rsidRDefault="002852B4" w:rsidP="00A870CB">
            <w:pPr>
              <w:jc w:val="both"/>
            </w:pPr>
            <w:r w:rsidRPr="002C63C0">
              <w:t>АО «Монитор Электрик», являющееся обладателем всех исключительных имущественных прав на Программы для ЭВМ, содержание сопровождающих их материалов и любые копии Программ для ЭВМ.</w:t>
            </w:r>
          </w:p>
        </w:tc>
      </w:tr>
      <w:tr w:rsidR="002852B4" w:rsidRPr="002C63C0" w14:paraId="6E3E6328" w14:textId="77777777" w:rsidTr="00A870CB">
        <w:tc>
          <w:tcPr>
            <w:tcW w:w="2778" w:type="dxa"/>
            <w:vAlign w:val="center"/>
          </w:tcPr>
          <w:p w14:paraId="2B977E2D" w14:textId="77777777" w:rsidR="002852B4" w:rsidRPr="002C63C0" w:rsidRDefault="002852B4" w:rsidP="00A870CB">
            <w:r w:rsidRPr="002C63C0">
              <w:t>Лицензиат</w:t>
            </w:r>
          </w:p>
        </w:tc>
        <w:tc>
          <w:tcPr>
            <w:tcW w:w="6998" w:type="dxa"/>
          </w:tcPr>
          <w:p w14:paraId="6DD061A2" w14:textId="16CA9201" w:rsidR="002852B4" w:rsidRPr="002C63C0" w:rsidRDefault="002852B4" w:rsidP="00A870CB">
            <w:pPr>
              <w:jc w:val="both"/>
            </w:pPr>
            <w:r w:rsidRPr="002C63C0">
              <w:rPr>
                <w:rFonts w:eastAsia="Calibri"/>
              </w:rPr>
              <w:t>__</w:t>
            </w:r>
            <w:r w:rsidR="00977A4B">
              <w:rPr>
                <w:rFonts w:eastAsia="Calibri"/>
              </w:rPr>
              <w:t>____</w:t>
            </w:r>
            <w:r w:rsidR="00977A4B" w:rsidRPr="00977A4B">
              <w:rPr>
                <w:rFonts w:eastAsia="Calibri"/>
                <w:u w:val="single"/>
              </w:rPr>
              <w:t>(наименование Лицензиата)</w:t>
            </w:r>
            <w:r w:rsidR="00977A4B">
              <w:rPr>
                <w:rFonts w:eastAsia="Calibri"/>
              </w:rPr>
              <w:t>_________</w:t>
            </w:r>
            <w:r w:rsidRPr="002C63C0">
              <w:rPr>
                <w:rFonts w:eastAsia="Calibri"/>
              </w:rPr>
              <w:t>___________</w:t>
            </w:r>
            <w:r w:rsidRPr="002C63C0">
              <w:t>, являющееся получателем прав использования Программ для ЭВМ по настоящему соглашению</w:t>
            </w:r>
            <w:bookmarkStart w:id="0" w:name="_GoBack"/>
            <w:bookmarkEnd w:id="0"/>
            <w:r w:rsidRPr="002C63C0">
              <w:rPr>
                <w:i/>
              </w:rPr>
              <w:t>.</w:t>
            </w:r>
          </w:p>
        </w:tc>
      </w:tr>
      <w:tr w:rsidR="002852B4" w:rsidRPr="002C63C0" w14:paraId="01AA123F" w14:textId="77777777" w:rsidTr="00A870CB">
        <w:tc>
          <w:tcPr>
            <w:tcW w:w="2778" w:type="dxa"/>
            <w:vAlign w:val="center"/>
          </w:tcPr>
          <w:p w14:paraId="6A6EF788" w14:textId="77777777" w:rsidR="002852B4" w:rsidRPr="002C63C0" w:rsidRDefault="002852B4" w:rsidP="00A870CB">
            <w:r w:rsidRPr="002C63C0">
              <w:t>Объект использования</w:t>
            </w:r>
          </w:p>
        </w:tc>
        <w:tc>
          <w:tcPr>
            <w:tcW w:w="6998" w:type="dxa"/>
          </w:tcPr>
          <w:p w14:paraId="3E1AFBF1" w14:textId="1FF62543" w:rsidR="002852B4" w:rsidRPr="002C63C0" w:rsidRDefault="002852B4" w:rsidP="00A870CB">
            <w:pPr>
              <w:jc w:val="both"/>
              <w:rPr>
                <w:rFonts w:eastAsia="Calibri"/>
                <w:lang w:eastAsia="en-US"/>
              </w:rPr>
            </w:pPr>
            <w:r w:rsidRPr="002C63C0">
              <w:rPr>
                <w:rFonts w:eastAsia="Calibri"/>
                <w:lang w:eastAsia="en-US"/>
              </w:rPr>
              <w:t>______</w:t>
            </w:r>
            <w:proofErr w:type="gramStart"/>
            <w:r w:rsidRPr="002C63C0">
              <w:rPr>
                <w:rFonts w:eastAsia="Calibri"/>
                <w:lang w:eastAsia="en-US"/>
              </w:rPr>
              <w:t>_</w:t>
            </w:r>
            <w:r w:rsidR="00977A4B" w:rsidRPr="00977A4B">
              <w:rPr>
                <w:rFonts w:eastAsia="Calibri"/>
                <w:u w:val="single"/>
                <w:lang w:eastAsia="en-US"/>
              </w:rPr>
              <w:t>(</w:t>
            </w:r>
            <w:proofErr w:type="gramEnd"/>
            <w:r w:rsidR="00977A4B" w:rsidRPr="00977A4B">
              <w:rPr>
                <w:rFonts w:eastAsia="Calibri"/>
                <w:u w:val="single"/>
                <w:lang w:eastAsia="en-US"/>
              </w:rPr>
              <w:t>наименование Конечного пользователя)</w:t>
            </w:r>
            <w:r w:rsidRPr="002C63C0">
              <w:rPr>
                <w:rFonts w:eastAsia="Calibri"/>
                <w:lang w:eastAsia="en-US"/>
              </w:rPr>
              <w:t>____________ – Конечный пользователь, который будет использовать экземпляры Программ для ЭВМ.</w:t>
            </w:r>
          </w:p>
          <w:p w14:paraId="2C4016BB" w14:textId="77777777" w:rsidR="002852B4" w:rsidRPr="002C63C0" w:rsidRDefault="002852B4" w:rsidP="00A870CB">
            <w:pPr>
              <w:tabs>
                <w:tab w:val="left" w:pos="1701"/>
              </w:tabs>
              <w:spacing w:after="200" w:line="276" w:lineRule="auto"/>
              <w:ind w:left="760"/>
              <w:contextualSpacing/>
              <w:jc w:val="both"/>
              <w:rPr>
                <w:lang w:val="x-none" w:eastAsia="x-none"/>
              </w:rPr>
            </w:pPr>
            <w:r w:rsidRPr="002C63C0">
              <w:rPr>
                <w:lang w:val="x-none" w:eastAsia="x-none"/>
              </w:rPr>
              <w:t>Объект:</w:t>
            </w:r>
          </w:p>
          <w:p w14:paraId="31B4D708" w14:textId="77777777" w:rsidR="002852B4" w:rsidRPr="002C63C0" w:rsidRDefault="002852B4" w:rsidP="00A870CB">
            <w:pPr>
              <w:numPr>
                <w:ilvl w:val="0"/>
                <w:numId w:val="42"/>
              </w:numPr>
              <w:tabs>
                <w:tab w:val="left" w:pos="1701"/>
              </w:tabs>
              <w:spacing w:after="200" w:line="276" w:lineRule="auto"/>
              <w:contextualSpacing/>
              <w:jc w:val="both"/>
              <w:rPr>
                <w:lang w:val="x-none" w:eastAsia="x-none"/>
              </w:rPr>
            </w:pPr>
            <w:r w:rsidRPr="002C63C0">
              <w:rPr>
                <w:lang w:val="x-none" w:eastAsia="x-none"/>
              </w:rPr>
              <w:t>_____________________________</w:t>
            </w:r>
          </w:p>
        </w:tc>
      </w:tr>
      <w:tr w:rsidR="002852B4" w:rsidRPr="002C63C0" w14:paraId="4505D3D0" w14:textId="77777777" w:rsidTr="00A870CB">
        <w:tc>
          <w:tcPr>
            <w:tcW w:w="2778" w:type="dxa"/>
            <w:vAlign w:val="center"/>
          </w:tcPr>
          <w:p w14:paraId="748AA12C" w14:textId="77777777" w:rsidR="002852B4" w:rsidRPr="002C63C0" w:rsidRDefault="002852B4" w:rsidP="00A870CB">
            <w:r w:rsidRPr="002C63C0">
              <w:t>Информационный домен СK-11</w:t>
            </w:r>
          </w:p>
        </w:tc>
        <w:tc>
          <w:tcPr>
            <w:tcW w:w="6998" w:type="dxa"/>
          </w:tcPr>
          <w:p w14:paraId="05560E39" w14:textId="77777777" w:rsidR="002852B4" w:rsidRPr="002C63C0" w:rsidRDefault="002852B4" w:rsidP="00A870CB">
            <w:pPr>
              <w:jc w:val="both"/>
            </w:pPr>
            <w:r w:rsidRPr="002C63C0">
              <w:t xml:space="preserve">Совокупность экземпляров Программ для ЭВМ, сконфигурированных для работы в составе общей автоматизированной системы, включающей один Основной экземпляр программы для ЭВМ «СK11.Model </w:t>
            </w:r>
            <w:r w:rsidRPr="002C63C0">
              <w:rPr>
                <w:lang w:val="en-US"/>
              </w:rPr>
              <w:t>Management</w:t>
            </w:r>
            <w:r w:rsidRPr="002C63C0">
              <w:t xml:space="preserve"> </w:t>
            </w:r>
            <w:r w:rsidRPr="002C63C0">
              <w:rPr>
                <w:lang w:val="en-US"/>
              </w:rPr>
              <w:t>System</w:t>
            </w:r>
            <w:r w:rsidRPr="002C63C0">
              <w:t>». Программы для ЭВМ, входящие в состав Информационного домена СK-11 оперируют одинаковой по объему общей информационной моделью объекта управления и общей конфигурационной информацией.</w:t>
            </w:r>
          </w:p>
          <w:p w14:paraId="516C5BAD" w14:textId="77777777" w:rsidR="002852B4" w:rsidRPr="002C63C0" w:rsidRDefault="002852B4" w:rsidP="00A870CB">
            <w:pPr>
              <w:jc w:val="both"/>
            </w:pPr>
            <w:r w:rsidRPr="002C63C0">
              <w:t>Привилегии пользователей по использованию функций СK-11 и доступу к данным автоматизированной системы определяются для каждого Информационного домена СK-11 индивидуально.</w:t>
            </w:r>
          </w:p>
        </w:tc>
      </w:tr>
      <w:tr w:rsidR="002852B4" w:rsidRPr="002C63C0" w14:paraId="4BD812F8" w14:textId="77777777" w:rsidTr="00A870CB">
        <w:tc>
          <w:tcPr>
            <w:tcW w:w="2778" w:type="dxa"/>
            <w:vAlign w:val="center"/>
          </w:tcPr>
          <w:p w14:paraId="0B9BB5D9" w14:textId="77777777" w:rsidR="002852B4" w:rsidRPr="002C63C0" w:rsidRDefault="002852B4" w:rsidP="00A870CB">
            <w:r w:rsidRPr="002C63C0">
              <w:t>Основной Информационный домен СK-11</w:t>
            </w:r>
          </w:p>
        </w:tc>
        <w:tc>
          <w:tcPr>
            <w:tcW w:w="6998" w:type="dxa"/>
          </w:tcPr>
          <w:p w14:paraId="6F9BECCB" w14:textId="77777777" w:rsidR="002852B4" w:rsidRPr="002C63C0" w:rsidRDefault="002852B4" w:rsidP="00A870CB">
            <w:pPr>
              <w:jc w:val="both"/>
            </w:pPr>
            <w:r w:rsidRPr="002C63C0">
              <w:t>Информационный домен СK-11, предназначенный для использования Программ для ЭВМ по основному назначению без дополнительных ограничений.</w:t>
            </w:r>
          </w:p>
        </w:tc>
      </w:tr>
      <w:tr w:rsidR="002852B4" w:rsidRPr="002C63C0" w14:paraId="54B38C76" w14:textId="77777777" w:rsidTr="00A870CB">
        <w:tc>
          <w:tcPr>
            <w:tcW w:w="2778" w:type="dxa"/>
            <w:vAlign w:val="center"/>
          </w:tcPr>
          <w:p w14:paraId="3B5C8B3C" w14:textId="77777777" w:rsidR="002852B4" w:rsidRPr="002C63C0" w:rsidRDefault="002852B4" w:rsidP="00A870CB">
            <w:pPr>
              <w:widowControl w:val="0"/>
            </w:pPr>
            <w:r w:rsidRPr="002C63C0">
              <w:t>Сервисный Информационный домен CK-11</w:t>
            </w:r>
          </w:p>
        </w:tc>
        <w:tc>
          <w:tcPr>
            <w:tcW w:w="6998" w:type="dxa"/>
          </w:tcPr>
          <w:p w14:paraId="68566026" w14:textId="77777777" w:rsidR="002852B4" w:rsidRPr="002C63C0" w:rsidRDefault="002852B4" w:rsidP="00A870CB">
            <w:pPr>
              <w:widowControl w:val="0"/>
              <w:jc w:val="both"/>
            </w:pPr>
            <w:r w:rsidRPr="002C63C0">
              <w:t xml:space="preserve">Информационный домен CK-11, представляющий собой совокупность экземпляров Программ для ЭВМ, аналогичную Основному информационному домену (без резервирования) и </w:t>
            </w:r>
            <w:r w:rsidRPr="002C63C0">
              <w:lastRenderedPageBreak/>
              <w:t>предназначенный только для установки обновлений Программ для ЭВМ, проверки обновлений перед их применением в Основном информационном домене, а также для обучения системных администраторов и других сервисных операций.</w:t>
            </w:r>
          </w:p>
        </w:tc>
      </w:tr>
      <w:tr w:rsidR="002852B4" w:rsidRPr="002C63C0" w14:paraId="435776A2" w14:textId="77777777" w:rsidTr="00A870CB">
        <w:tc>
          <w:tcPr>
            <w:tcW w:w="2778" w:type="dxa"/>
            <w:vAlign w:val="center"/>
          </w:tcPr>
          <w:p w14:paraId="072071F9" w14:textId="77777777" w:rsidR="002852B4" w:rsidRPr="002C63C0" w:rsidRDefault="002852B4" w:rsidP="00A870CB">
            <w:pPr>
              <w:widowControl w:val="0"/>
            </w:pPr>
            <w:r w:rsidRPr="002C63C0">
              <w:rPr>
                <w:szCs w:val="20"/>
              </w:rPr>
              <w:lastRenderedPageBreak/>
              <w:t>Основной экземпляр программы для ЭВМ</w:t>
            </w:r>
          </w:p>
        </w:tc>
        <w:tc>
          <w:tcPr>
            <w:tcW w:w="6998" w:type="dxa"/>
          </w:tcPr>
          <w:p w14:paraId="02C10E8A" w14:textId="77777777" w:rsidR="002852B4" w:rsidRPr="002C63C0" w:rsidRDefault="002852B4" w:rsidP="00A870CB">
            <w:pPr>
              <w:widowControl w:val="0"/>
              <w:jc w:val="both"/>
            </w:pPr>
            <w:r w:rsidRPr="002C63C0">
              <w:rPr>
                <w:szCs w:val="20"/>
              </w:rPr>
              <w:t>Экземпляр программы для ЭВМ из состава CK-11, который может быть использован Лицензиатом в соответствии с условиями Лицензионного соглашения без дополнительных ограничений.  Основной экземпляр программы для ЭВМ может использоваться в качестве Резервного экземпляра программы для ЭВМ.</w:t>
            </w:r>
          </w:p>
        </w:tc>
      </w:tr>
      <w:tr w:rsidR="002852B4" w:rsidRPr="002C63C0" w14:paraId="3A7AD74F" w14:textId="77777777" w:rsidTr="00A870CB">
        <w:tc>
          <w:tcPr>
            <w:tcW w:w="2778" w:type="dxa"/>
            <w:vAlign w:val="center"/>
          </w:tcPr>
          <w:p w14:paraId="0D6F0F08" w14:textId="77777777" w:rsidR="002852B4" w:rsidRPr="002C63C0" w:rsidRDefault="002852B4" w:rsidP="00A870CB">
            <w:r w:rsidRPr="002C63C0">
              <w:rPr>
                <w:szCs w:val="20"/>
              </w:rPr>
              <w:t>Резервный экземпляр программы для ЭВМ</w:t>
            </w:r>
          </w:p>
        </w:tc>
        <w:tc>
          <w:tcPr>
            <w:tcW w:w="6998" w:type="dxa"/>
          </w:tcPr>
          <w:p w14:paraId="78A058C8" w14:textId="77777777" w:rsidR="002852B4" w:rsidRPr="002C63C0" w:rsidRDefault="002852B4" w:rsidP="00A870CB">
            <w:pPr>
              <w:jc w:val="both"/>
            </w:pPr>
            <w:r w:rsidRPr="002C63C0">
              <w:rPr>
                <w:szCs w:val="20"/>
              </w:rPr>
              <w:t>Может быть использован только для обеспечения горячего резервирования функциональности Основного экземпляра программы для ЭВМ. При этом Основной и Резервный экземпляры программы для ЭВМ должны оперировать идентичным набором конфигурационной информации (за исключением специализированной конфигурационной информации, отражающей роль экземпляра: основной или резервный) и данных.</w:t>
            </w:r>
          </w:p>
        </w:tc>
      </w:tr>
      <w:tr w:rsidR="002852B4" w:rsidRPr="002C63C0" w14:paraId="53F9CE89" w14:textId="77777777" w:rsidTr="00A870CB">
        <w:tc>
          <w:tcPr>
            <w:tcW w:w="2778" w:type="dxa"/>
            <w:vAlign w:val="center"/>
          </w:tcPr>
          <w:p w14:paraId="15A2C5D9" w14:textId="77777777" w:rsidR="002852B4" w:rsidRPr="002C63C0" w:rsidRDefault="002852B4" w:rsidP="00A870CB">
            <w:r w:rsidRPr="002C63C0">
              <w:t>Зона ответственности СK-11</w:t>
            </w:r>
          </w:p>
        </w:tc>
        <w:tc>
          <w:tcPr>
            <w:tcW w:w="6998" w:type="dxa"/>
          </w:tcPr>
          <w:p w14:paraId="208CC8A3" w14:textId="77777777" w:rsidR="002852B4" w:rsidRPr="002C63C0" w:rsidRDefault="002852B4" w:rsidP="00A870CB">
            <w:pPr>
              <w:jc w:val="both"/>
            </w:pPr>
            <w:r w:rsidRPr="002C63C0">
              <w:t>Совокупность объектов управления, описанных в информационной модели СK-11, для которой могут быть независимо от других объектов управления настроены права доступа пользователей к функциям и данным СK-11.</w:t>
            </w:r>
          </w:p>
        </w:tc>
      </w:tr>
    </w:tbl>
    <w:p w14:paraId="317535E3" w14:textId="77777777" w:rsidR="002852B4" w:rsidRPr="002C63C0" w:rsidRDefault="002852B4" w:rsidP="002852B4">
      <w:pPr>
        <w:widowControl w:val="0"/>
        <w:numPr>
          <w:ilvl w:val="0"/>
          <w:numId w:val="21"/>
        </w:numPr>
        <w:adjustRightInd w:val="0"/>
        <w:spacing w:before="240" w:after="240" w:line="259" w:lineRule="auto"/>
        <w:ind w:left="709" w:firstLine="567"/>
        <w:jc w:val="both"/>
        <w:textAlignment w:val="baseline"/>
        <w:rPr>
          <w:b/>
        </w:rPr>
      </w:pPr>
      <w:r w:rsidRPr="002C63C0">
        <w:rPr>
          <w:b/>
        </w:rPr>
        <w:t>Назначение программ для ЭВМ</w:t>
      </w:r>
    </w:p>
    <w:p w14:paraId="78A11051" w14:textId="77777777" w:rsidR="002852B4" w:rsidRPr="002C63C0" w:rsidRDefault="002852B4" w:rsidP="002852B4">
      <w:pPr>
        <w:jc w:val="both"/>
      </w:pPr>
      <w:r w:rsidRPr="002C63C0">
        <w:rPr>
          <w:b/>
        </w:rPr>
        <w:t xml:space="preserve">           </w:t>
      </w:r>
      <w:r w:rsidRPr="002C63C0">
        <w:t xml:space="preserve">В общем случае, СK-11 используется на ЭВМ, объединенных в вычислительную сеть. При этом одна часть ЭВМ отвечает за хранение всех общих ресурсов и реализацию всей общей прикладной функциональности Программ для ЭВМ (серверные узлы СK-11), а другая часть ЭВМ обеспечивает одновременный многопользовательский доступ к ресурсам и функциям (сервисам), расположенным на серверных узлах СK-11, для решения частных пользовательских задач. </w:t>
      </w:r>
    </w:p>
    <w:p w14:paraId="55FBDEDF" w14:textId="77777777" w:rsidR="002852B4" w:rsidRPr="002C63C0" w:rsidRDefault="002852B4" w:rsidP="002852B4">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52"/>
        <w:gridCol w:w="4778"/>
      </w:tblGrid>
      <w:tr w:rsidR="004C2485" w:rsidRPr="002C63C0" w14:paraId="7F1BD15B" w14:textId="77777777" w:rsidTr="004C2485">
        <w:trPr>
          <w:trHeight w:val="614"/>
          <w:tblHeader/>
        </w:trPr>
        <w:tc>
          <w:tcPr>
            <w:tcW w:w="704" w:type="dxa"/>
            <w:tcBorders>
              <w:top w:val="single" w:sz="4" w:space="0" w:color="auto"/>
              <w:left w:val="single" w:sz="4" w:space="0" w:color="auto"/>
              <w:bottom w:val="single" w:sz="4" w:space="0" w:color="auto"/>
              <w:right w:val="single" w:sz="4" w:space="0" w:color="auto"/>
            </w:tcBorders>
            <w:vAlign w:val="center"/>
          </w:tcPr>
          <w:p w14:paraId="4C3AA810" w14:textId="21C0C51C" w:rsidR="004C2485" w:rsidRPr="002C63C0" w:rsidRDefault="004C2485" w:rsidP="00A870CB">
            <w:pPr>
              <w:jc w:val="center"/>
              <w:rPr>
                <w:b/>
                <w:snapToGrid w:val="0"/>
              </w:rPr>
            </w:pPr>
            <w:r>
              <w:rPr>
                <w:b/>
                <w:snapToGrid w:val="0"/>
              </w:rPr>
              <w:t>№</w:t>
            </w:r>
          </w:p>
        </w:tc>
        <w:tc>
          <w:tcPr>
            <w:tcW w:w="4152" w:type="dxa"/>
            <w:tcBorders>
              <w:top w:val="single" w:sz="4" w:space="0" w:color="auto"/>
              <w:left w:val="single" w:sz="4" w:space="0" w:color="auto"/>
              <w:bottom w:val="single" w:sz="4" w:space="0" w:color="auto"/>
              <w:right w:val="single" w:sz="4" w:space="0" w:color="auto"/>
            </w:tcBorders>
            <w:vAlign w:val="center"/>
          </w:tcPr>
          <w:p w14:paraId="3AA1FD22" w14:textId="1BD818C3" w:rsidR="004C2485" w:rsidRPr="002C63C0" w:rsidRDefault="004C2485" w:rsidP="00A870CB">
            <w:pPr>
              <w:jc w:val="center"/>
              <w:rPr>
                <w:b/>
                <w:snapToGrid w:val="0"/>
              </w:rPr>
            </w:pPr>
            <w:r w:rsidRPr="002C63C0">
              <w:rPr>
                <w:b/>
                <w:snapToGrid w:val="0"/>
              </w:rPr>
              <w:t>Программа для ЭВМ</w:t>
            </w:r>
          </w:p>
        </w:tc>
        <w:tc>
          <w:tcPr>
            <w:tcW w:w="4778" w:type="dxa"/>
            <w:tcBorders>
              <w:top w:val="single" w:sz="4" w:space="0" w:color="auto"/>
              <w:left w:val="single" w:sz="4" w:space="0" w:color="auto"/>
              <w:bottom w:val="single" w:sz="4" w:space="0" w:color="auto"/>
              <w:right w:val="single" w:sz="4" w:space="0" w:color="auto"/>
            </w:tcBorders>
            <w:vAlign w:val="center"/>
          </w:tcPr>
          <w:p w14:paraId="7378DF4F" w14:textId="77777777" w:rsidR="004C2485" w:rsidRPr="002C63C0" w:rsidRDefault="004C2485" w:rsidP="00A870CB">
            <w:pPr>
              <w:jc w:val="center"/>
              <w:rPr>
                <w:b/>
                <w:snapToGrid w:val="0"/>
              </w:rPr>
            </w:pPr>
            <w:r w:rsidRPr="002C63C0">
              <w:rPr>
                <w:b/>
                <w:snapToGrid w:val="0"/>
              </w:rPr>
              <w:t>Назначение</w:t>
            </w:r>
          </w:p>
        </w:tc>
      </w:tr>
      <w:tr w:rsidR="004C2485" w:rsidRPr="002C63C0" w14:paraId="77A787C1" w14:textId="77777777" w:rsidTr="004C2485">
        <w:trPr>
          <w:trHeight w:val="61"/>
        </w:trPr>
        <w:tc>
          <w:tcPr>
            <w:tcW w:w="704" w:type="dxa"/>
            <w:tcBorders>
              <w:top w:val="single" w:sz="4" w:space="0" w:color="auto"/>
              <w:left w:val="single" w:sz="4" w:space="0" w:color="auto"/>
              <w:bottom w:val="single" w:sz="4" w:space="0" w:color="auto"/>
              <w:right w:val="single" w:sz="4" w:space="0" w:color="auto"/>
            </w:tcBorders>
          </w:tcPr>
          <w:p w14:paraId="325F0C01" w14:textId="77777777" w:rsidR="004C2485" w:rsidRPr="002C63C0" w:rsidRDefault="004C2485" w:rsidP="00A870CB">
            <w:pPr>
              <w:widowControl w:val="0"/>
              <w:numPr>
                <w:ilvl w:val="0"/>
                <w:numId w:val="43"/>
              </w:numPr>
              <w:tabs>
                <w:tab w:val="left" w:pos="1701"/>
              </w:tabs>
              <w:ind w:left="499" w:hanging="357"/>
              <w:contextualSpacing/>
              <w:rPr>
                <w:lang w:val="x-none"/>
              </w:rPr>
            </w:pPr>
          </w:p>
        </w:tc>
        <w:tc>
          <w:tcPr>
            <w:tcW w:w="4152" w:type="dxa"/>
            <w:tcBorders>
              <w:top w:val="single" w:sz="4" w:space="0" w:color="auto"/>
              <w:left w:val="single" w:sz="4" w:space="0" w:color="auto"/>
              <w:bottom w:val="single" w:sz="4" w:space="0" w:color="auto"/>
              <w:right w:val="single" w:sz="4" w:space="0" w:color="auto"/>
            </w:tcBorders>
            <w:vAlign w:val="center"/>
          </w:tcPr>
          <w:p w14:paraId="693B9368" w14:textId="014E42A3" w:rsidR="004C2485" w:rsidRPr="002C63C0" w:rsidRDefault="004C2485" w:rsidP="004C2485">
            <w:pPr>
              <w:widowControl w:val="0"/>
              <w:tabs>
                <w:tab w:val="left" w:pos="1701"/>
              </w:tabs>
              <w:ind w:left="142"/>
              <w:contextualSpacing/>
              <w:rPr>
                <w:lang w:val="x-none"/>
              </w:rPr>
            </w:pP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2D92E6A8" w14:textId="77777777" w:rsidR="004C2485" w:rsidRPr="002C63C0" w:rsidRDefault="004C2485" w:rsidP="00A870CB">
            <w:pPr>
              <w:widowControl w:val="0"/>
              <w:jc w:val="both"/>
              <w:rPr>
                <w:szCs w:val="20"/>
              </w:rPr>
            </w:pPr>
          </w:p>
        </w:tc>
      </w:tr>
      <w:tr w:rsidR="004C2485" w:rsidRPr="002C63C0" w14:paraId="7F66686A" w14:textId="77777777" w:rsidTr="004C2485">
        <w:trPr>
          <w:trHeight w:val="111"/>
        </w:trPr>
        <w:tc>
          <w:tcPr>
            <w:tcW w:w="704" w:type="dxa"/>
            <w:tcBorders>
              <w:top w:val="single" w:sz="4" w:space="0" w:color="auto"/>
              <w:left w:val="single" w:sz="4" w:space="0" w:color="auto"/>
              <w:bottom w:val="single" w:sz="4" w:space="0" w:color="auto"/>
              <w:right w:val="single" w:sz="4" w:space="0" w:color="auto"/>
            </w:tcBorders>
          </w:tcPr>
          <w:p w14:paraId="0A5B27C8" w14:textId="77777777" w:rsidR="004C2485" w:rsidRPr="002C63C0" w:rsidRDefault="004C2485" w:rsidP="00A870CB">
            <w:pPr>
              <w:widowControl w:val="0"/>
              <w:numPr>
                <w:ilvl w:val="0"/>
                <w:numId w:val="43"/>
              </w:numPr>
              <w:tabs>
                <w:tab w:val="left" w:pos="1701"/>
              </w:tabs>
              <w:ind w:left="499" w:hanging="357"/>
              <w:contextualSpacing/>
              <w:rPr>
                <w:lang w:val="x-none"/>
              </w:rPr>
            </w:pPr>
          </w:p>
        </w:tc>
        <w:tc>
          <w:tcPr>
            <w:tcW w:w="4152" w:type="dxa"/>
            <w:tcBorders>
              <w:top w:val="single" w:sz="4" w:space="0" w:color="auto"/>
              <w:left w:val="single" w:sz="4" w:space="0" w:color="auto"/>
              <w:bottom w:val="single" w:sz="4" w:space="0" w:color="auto"/>
              <w:right w:val="single" w:sz="4" w:space="0" w:color="auto"/>
            </w:tcBorders>
            <w:vAlign w:val="center"/>
          </w:tcPr>
          <w:p w14:paraId="710FF750" w14:textId="035C6353" w:rsidR="004C2485" w:rsidRPr="002C63C0" w:rsidRDefault="004C2485" w:rsidP="004C2485">
            <w:pPr>
              <w:widowControl w:val="0"/>
              <w:tabs>
                <w:tab w:val="left" w:pos="1701"/>
              </w:tabs>
              <w:ind w:left="142"/>
              <w:contextualSpacing/>
              <w:rPr>
                <w:lang w:val="x-none"/>
              </w:rPr>
            </w:pP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0C8FB02D" w14:textId="77777777" w:rsidR="004C2485" w:rsidRPr="002C63C0" w:rsidRDefault="004C2485" w:rsidP="00A870CB">
            <w:pPr>
              <w:widowControl w:val="0"/>
              <w:jc w:val="both"/>
              <w:rPr>
                <w:szCs w:val="20"/>
                <w:lang w:val="en-US"/>
              </w:rPr>
            </w:pPr>
          </w:p>
        </w:tc>
      </w:tr>
      <w:tr w:rsidR="004C2485" w:rsidRPr="002C63C0" w14:paraId="76C44E4E" w14:textId="77777777" w:rsidTr="004C2485">
        <w:trPr>
          <w:trHeight w:val="234"/>
        </w:trPr>
        <w:tc>
          <w:tcPr>
            <w:tcW w:w="704" w:type="dxa"/>
            <w:tcBorders>
              <w:top w:val="single" w:sz="4" w:space="0" w:color="auto"/>
              <w:left w:val="single" w:sz="4" w:space="0" w:color="auto"/>
              <w:bottom w:val="single" w:sz="4" w:space="0" w:color="auto"/>
              <w:right w:val="single" w:sz="4" w:space="0" w:color="auto"/>
            </w:tcBorders>
          </w:tcPr>
          <w:p w14:paraId="5669EA18" w14:textId="77777777" w:rsidR="004C2485" w:rsidRPr="002C63C0" w:rsidRDefault="004C2485" w:rsidP="00A870CB">
            <w:pPr>
              <w:widowControl w:val="0"/>
              <w:numPr>
                <w:ilvl w:val="0"/>
                <w:numId w:val="43"/>
              </w:numPr>
              <w:tabs>
                <w:tab w:val="left" w:pos="1701"/>
              </w:tabs>
              <w:ind w:left="499" w:hanging="357"/>
              <w:contextualSpacing/>
              <w:rPr>
                <w:lang w:val="x-none"/>
              </w:rPr>
            </w:pPr>
          </w:p>
        </w:tc>
        <w:tc>
          <w:tcPr>
            <w:tcW w:w="4152" w:type="dxa"/>
            <w:tcBorders>
              <w:top w:val="single" w:sz="4" w:space="0" w:color="auto"/>
              <w:left w:val="single" w:sz="4" w:space="0" w:color="auto"/>
              <w:bottom w:val="single" w:sz="4" w:space="0" w:color="auto"/>
              <w:right w:val="single" w:sz="4" w:space="0" w:color="auto"/>
            </w:tcBorders>
            <w:vAlign w:val="center"/>
          </w:tcPr>
          <w:p w14:paraId="16C0A1F2" w14:textId="6611DD76" w:rsidR="004C2485" w:rsidRPr="002C63C0" w:rsidRDefault="004C2485" w:rsidP="004C2485">
            <w:pPr>
              <w:widowControl w:val="0"/>
              <w:tabs>
                <w:tab w:val="left" w:pos="1701"/>
              </w:tabs>
              <w:ind w:left="142"/>
              <w:contextualSpacing/>
              <w:rPr>
                <w:lang w:val="x-none"/>
              </w:rPr>
            </w:pP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77118911" w14:textId="77777777" w:rsidR="004C2485" w:rsidRPr="002C63C0" w:rsidRDefault="004C2485" w:rsidP="00A870CB">
            <w:pPr>
              <w:widowControl w:val="0"/>
              <w:jc w:val="both"/>
              <w:rPr>
                <w:szCs w:val="20"/>
                <w:lang w:val="en-US"/>
              </w:rPr>
            </w:pPr>
          </w:p>
        </w:tc>
      </w:tr>
    </w:tbl>
    <w:p w14:paraId="63FCED5C" w14:textId="77777777" w:rsidR="002852B4" w:rsidRPr="002C63C0" w:rsidRDefault="002852B4" w:rsidP="002852B4">
      <w:pPr>
        <w:widowControl w:val="0"/>
        <w:numPr>
          <w:ilvl w:val="0"/>
          <w:numId w:val="21"/>
        </w:numPr>
        <w:adjustRightInd w:val="0"/>
        <w:spacing w:before="240" w:after="240" w:line="259" w:lineRule="auto"/>
        <w:ind w:left="709" w:firstLine="567"/>
        <w:jc w:val="both"/>
        <w:textAlignment w:val="baseline"/>
        <w:rPr>
          <w:b/>
        </w:rPr>
      </w:pPr>
      <w:r w:rsidRPr="002C63C0">
        <w:rPr>
          <w:b/>
        </w:rPr>
        <w:t>Предмет Лицензионного соглашения</w:t>
      </w:r>
    </w:p>
    <w:p w14:paraId="792AD954" w14:textId="77777777" w:rsidR="002852B4" w:rsidRPr="002C63C0" w:rsidRDefault="002852B4" w:rsidP="002852B4">
      <w:pPr>
        <w:ind w:firstLine="709"/>
        <w:jc w:val="both"/>
      </w:pPr>
      <w:r w:rsidRPr="002C63C0">
        <w:rPr>
          <w:bCs/>
        </w:rPr>
        <w:t xml:space="preserve">Настоящее лицензионное соглашение определяет объём </w:t>
      </w:r>
      <w:r w:rsidRPr="002C63C0">
        <w:t xml:space="preserve">передаваемых Лицензиаром Лицензиату прав (способы и пределы) </w:t>
      </w:r>
      <w:r w:rsidRPr="002C63C0">
        <w:rPr>
          <w:bCs/>
        </w:rPr>
        <w:t>использования Программ для ЭВМ.</w:t>
      </w:r>
    </w:p>
    <w:p w14:paraId="7BE075D4" w14:textId="77777777" w:rsidR="002852B4" w:rsidRPr="002C63C0" w:rsidRDefault="002852B4" w:rsidP="002852B4">
      <w:pPr>
        <w:ind w:firstLine="709"/>
        <w:jc w:val="both"/>
      </w:pPr>
      <w:r w:rsidRPr="002C63C0">
        <w:rPr>
          <w:bCs/>
        </w:rPr>
        <w:t>Право использования Программ для ЭВМ предоставляется Лицензиату на условиях простой (неисключительной) лицензии, в соответствии с условиями настоящего Лицензионного соглашения с момента подписания Сторонами акта о предоставлении права использования Программ для ЭВМ</w:t>
      </w:r>
      <w:r w:rsidRPr="002C63C0">
        <w:t>.</w:t>
      </w:r>
    </w:p>
    <w:p w14:paraId="6D155234" w14:textId="77777777" w:rsidR="002852B4" w:rsidRPr="002C63C0" w:rsidRDefault="002852B4" w:rsidP="002852B4">
      <w:pPr>
        <w:widowControl w:val="0"/>
        <w:numPr>
          <w:ilvl w:val="0"/>
          <w:numId w:val="21"/>
        </w:numPr>
        <w:adjustRightInd w:val="0"/>
        <w:spacing w:before="240" w:after="120" w:line="259" w:lineRule="auto"/>
        <w:ind w:left="709" w:firstLine="567"/>
        <w:jc w:val="both"/>
        <w:textAlignment w:val="baseline"/>
        <w:rPr>
          <w:b/>
        </w:rPr>
      </w:pPr>
      <w:r w:rsidRPr="002C63C0">
        <w:rPr>
          <w:b/>
        </w:rPr>
        <w:t>Способы и пределы использования Лицензиатом Программ для ЭВМ</w:t>
      </w:r>
    </w:p>
    <w:p w14:paraId="65FF8F65" w14:textId="77777777" w:rsidR="002852B4" w:rsidRPr="002C63C0" w:rsidRDefault="002852B4" w:rsidP="00270FEB">
      <w:pPr>
        <w:widowControl w:val="0"/>
        <w:numPr>
          <w:ilvl w:val="0"/>
          <w:numId w:val="20"/>
        </w:numPr>
        <w:tabs>
          <w:tab w:val="left" w:pos="426"/>
        </w:tabs>
        <w:adjustRightInd w:val="0"/>
        <w:spacing w:before="120" w:after="120" w:line="259" w:lineRule="auto"/>
        <w:ind w:firstLine="207"/>
        <w:jc w:val="both"/>
        <w:textAlignment w:val="baseline"/>
        <w:rPr>
          <w:rFonts w:eastAsia="Calibri"/>
        </w:rPr>
      </w:pPr>
      <w:r w:rsidRPr="002C63C0">
        <w:rPr>
          <w:rFonts w:eastAsia="Calibri"/>
        </w:rPr>
        <w:t>Лицензиату предоставляются следующие права:</w:t>
      </w:r>
    </w:p>
    <w:p w14:paraId="182D154C" w14:textId="61E161E5"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t>Инсталляция</w:t>
      </w:r>
      <w:r w:rsidR="004C2485">
        <w:t xml:space="preserve"> и</w:t>
      </w:r>
      <w:r w:rsidRPr="002C63C0">
        <w:t xml:space="preserve"> запуск Программ для ЭВМ.</w:t>
      </w:r>
    </w:p>
    <w:p w14:paraId="1496C4E7"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t xml:space="preserve">Изготовление копии Программ для ЭВМ при условии, что эта копия </w:t>
      </w:r>
      <w:r w:rsidRPr="002C63C0">
        <w:lastRenderedPageBreak/>
        <w:t>предназначена только для архивных целей или для замены правомерного экземпляра в случаях, когда такой экземпляр утерян, уничтожен или стал непригоден для использования.</w:t>
      </w:r>
    </w:p>
    <w:p w14:paraId="770C7F8C"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t>Лицензиат вправе внести в Программы для ЭВМ изменения исключительно в целях надлежащего функционирования Программы для ЭВМ на технических средствах Лицензиата и осуществлять действия необходимые для функционирования Программ для ЭВМ в соответствии с их назначением, в том числе запись и хранение в памяти ЭВМ.</w:t>
      </w:r>
    </w:p>
    <w:p w14:paraId="35860F74"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 xml:space="preserve">Право использования Программ для ЭВМ только в соответствии с назначением, указанным в пользовательской эксплуатационной документации, и только на ЭВМ, принадлежащих Лицензиату. </w:t>
      </w:r>
    </w:p>
    <w:p w14:paraId="730B96B3"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Право использования одного Основного Информационного домена С</w:t>
      </w:r>
      <w:r w:rsidRPr="002C63C0">
        <w:t>K</w:t>
      </w:r>
      <w:r w:rsidRPr="002C63C0">
        <w:rPr>
          <w:rFonts w:eastAsia="Calibri"/>
        </w:rPr>
        <w:t>-11.</w:t>
      </w:r>
    </w:p>
    <w:p w14:paraId="1EA14EC2"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Право использования одного Сервисного Информационного домена С</w:t>
      </w:r>
      <w:r w:rsidRPr="002C63C0">
        <w:t>K</w:t>
      </w:r>
      <w:r w:rsidRPr="002C63C0">
        <w:rPr>
          <w:rFonts w:eastAsia="Calibri"/>
        </w:rPr>
        <w:t>-11.</w:t>
      </w:r>
    </w:p>
    <w:p w14:paraId="2D573A86"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Право использования Программ для ЭВМ для создания и использования информационной модели, включающей объекты, находящиеся в управлении и ведении ________________ в следующем объеме: _____________________________.</w:t>
      </w:r>
    </w:p>
    <w:p w14:paraId="066CFC8D"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Право использования Программ для ЭВМ для создания _____ зон ответственности С</w:t>
      </w:r>
      <w:r w:rsidRPr="002C63C0">
        <w:rPr>
          <w:bCs/>
        </w:rPr>
        <w:t>K</w:t>
      </w:r>
      <w:r w:rsidRPr="002C63C0">
        <w:rPr>
          <w:rFonts w:eastAsia="Calibri"/>
        </w:rPr>
        <w:t>-11.</w:t>
      </w:r>
    </w:p>
    <w:p w14:paraId="1E2166D8" w14:textId="77777777" w:rsidR="002852B4" w:rsidRPr="002C63C0" w:rsidRDefault="002852B4" w:rsidP="00977A4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Право использования Программ для ЭВМ в составе одного Основного Информационного домена С</w:t>
      </w:r>
      <w:r w:rsidRPr="002C63C0">
        <w:t>K</w:t>
      </w:r>
      <w:r w:rsidRPr="002C63C0">
        <w:rPr>
          <w:rFonts w:eastAsia="Calibri"/>
        </w:rPr>
        <w:t>-11 и одного Сервисного Информационного домена С</w:t>
      </w:r>
      <w:r w:rsidRPr="002C63C0">
        <w:t>K</w:t>
      </w:r>
      <w:r w:rsidRPr="002C63C0">
        <w:rPr>
          <w:rFonts w:eastAsia="Calibri"/>
        </w:rPr>
        <w:t>-11 с учетом ограничений по количеству экземпляров в соответствии с нижеприведенной таблицей: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3402"/>
        <w:gridCol w:w="3402"/>
      </w:tblGrid>
      <w:tr w:rsidR="004C2485" w:rsidRPr="002C63C0" w14:paraId="7EE15917" w14:textId="77777777" w:rsidTr="004C2485">
        <w:trPr>
          <w:trHeight w:val="1343"/>
          <w:tblHeader/>
        </w:trPr>
        <w:tc>
          <w:tcPr>
            <w:tcW w:w="567" w:type="dxa"/>
            <w:vAlign w:val="center"/>
          </w:tcPr>
          <w:p w14:paraId="297F805D" w14:textId="6B1FAE19" w:rsidR="004C2485" w:rsidRPr="002C63C0" w:rsidRDefault="004C2485" w:rsidP="00A870CB">
            <w:pPr>
              <w:tabs>
                <w:tab w:val="left" w:pos="851"/>
              </w:tabs>
              <w:jc w:val="center"/>
              <w:rPr>
                <w:rFonts w:eastAsia="Calibri"/>
                <w:b/>
              </w:rPr>
            </w:pPr>
            <w:r>
              <w:rPr>
                <w:rFonts w:eastAsia="Calibri"/>
                <w:b/>
              </w:rPr>
              <w:t>№</w:t>
            </w:r>
          </w:p>
        </w:tc>
        <w:tc>
          <w:tcPr>
            <w:tcW w:w="2268" w:type="dxa"/>
            <w:vAlign w:val="center"/>
          </w:tcPr>
          <w:p w14:paraId="02733A19" w14:textId="6B86B29F" w:rsidR="004C2485" w:rsidRPr="002C63C0" w:rsidRDefault="004C2485" w:rsidP="00A870CB">
            <w:pPr>
              <w:tabs>
                <w:tab w:val="left" w:pos="851"/>
              </w:tabs>
              <w:jc w:val="center"/>
              <w:rPr>
                <w:rFonts w:eastAsia="Calibri"/>
                <w:b/>
              </w:rPr>
            </w:pPr>
            <w:r w:rsidRPr="002C63C0">
              <w:rPr>
                <w:rFonts w:eastAsia="Calibri"/>
                <w:b/>
              </w:rPr>
              <w:t>Программа для ЭВМ</w:t>
            </w:r>
          </w:p>
        </w:tc>
        <w:tc>
          <w:tcPr>
            <w:tcW w:w="3402" w:type="dxa"/>
            <w:vAlign w:val="center"/>
          </w:tcPr>
          <w:p w14:paraId="19888B74" w14:textId="77777777" w:rsidR="004C2485" w:rsidRPr="002C63C0" w:rsidRDefault="004C2485" w:rsidP="00A870CB">
            <w:pPr>
              <w:tabs>
                <w:tab w:val="left" w:pos="851"/>
              </w:tabs>
              <w:jc w:val="center"/>
              <w:rPr>
                <w:rFonts w:eastAsia="Calibri"/>
                <w:b/>
              </w:rPr>
            </w:pPr>
            <w:r w:rsidRPr="002C63C0">
              <w:rPr>
                <w:rFonts w:eastAsia="Calibri"/>
                <w:b/>
              </w:rPr>
              <w:t>Ограничения по количеству используемых экземпляров в рамках одного Основного Информационного домена С</w:t>
            </w:r>
            <w:r w:rsidRPr="002C63C0">
              <w:rPr>
                <w:b/>
              </w:rPr>
              <w:t>K‑</w:t>
            </w:r>
            <w:r w:rsidRPr="002C63C0">
              <w:rPr>
                <w:rFonts w:eastAsia="Calibri"/>
                <w:b/>
              </w:rPr>
              <w:t>11</w:t>
            </w:r>
          </w:p>
        </w:tc>
        <w:tc>
          <w:tcPr>
            <w:tcW w:w="3402" w:type="dxa"/>
            <w:vAlign w:val="center"/>
          </w:tcPr>
          <w:p w14:paraId="265AA7BA" w14:textId="77777777" w:rsidR="004C2485" w:rsidRPr="002C63C0" w:rsidRDefault="004C2485" w:rsidP="00A870CB">
            <w:pPr>
              <w:tabs>
                <w:tab w:val="left" w:pos="851"/>
              </w:tabs>
              <w:jc w:val="center"/>
              <w:rPr>
                <w:rFonts w:eastAsia="Calibri"/>
                <w:b/>
              </w:rPr>
            </w:pPr>
            <w:r w:rsidRPr="002C63C0">
              <w:rPr>
                <w:rFonts w:eastAsia="Calibri"/>
                <w:b/>
              </w:rPr>
              <w:t>Ограничения по количеству используемых экземпляров в рамках одного Сервисного Информационного домена С</w:t>
            </w:r>
            <w:r w:rsidRPr="002C63C0">
              <w:rPr>
                <w:b/>
              </w:rPr>
              <w:t>K</w:t>
            </w:r>
            <w:r w:rsidRPr="002C63C0">
              <w:rPr>
                <w:rFonts w:eastAsia="Calibri"/>
                <w:b/>
              </w:rPr>
              <w:t>-11</w:t>
            </w:r>
          </w:p>
        </w:tc>
      </w:tr>
      <w:tr w:rsidR="004C2485" w:rsidRPr="002C63C0" w14:paraId="04C4E899" w14:textId="77777777" w:rsidTr="004C2485">
        <w:tc>
          <w:tcPr>
            <w:tcW w:w="567" w:type="dxa"/>
          </w:tcPr>
          <w:p w14:paraId="2206EB2E" w14:textId="77777777" w:rsidR="004C2485" w:rsidRPr="002C63C0" w:rsidRDefault="004C2485" w:rsidP="00A870CB">
            <w:pPr>
              <w:numPr>
                <w:ilvl w:val="0"/>
                <w:numId w:val="39"/>
              </w:numPr>
              <w:ind w:left="426" w:hanging="437"/>
              <w:jc w:val="both"/>
              <w:rPr>
                <w:snapToGrid w:val="0"/>
              </w:rPr>
            </w:pPr>
          </w:p>
        </w:tc>
        <w:tc>
          <w:tcPr>
            <w:tcW w:w="2268" w:type="dxa"/>
            <w:vAlign w:val="center"/>
          </w:tcPr>
          <w:p w14:paraId="2623D559" w14:textId="1B6C3A57" w:rsidR="004C2485" w:rsidRPr="002C63C0" w:rsidRDefault="004C2485" w:rsidP="004C2485">
            <w:pPr>
              <w:ind w:left="-11"/>
              <w:jc w:val="both"/>
              <w:rPr>
                <w:snapToGrid w:val="0"/>
              </w:rPr>
            </w:pPr>
          </w:p>
        </w:tc>
        <w:tc>
          <w:tcPr>
            <w:tcW w:w="3402" w:type="dxa"/>
            <w:vAlign w:val="center"/>
          </w:tcPr>
          <w:p w14:paraId="47BC72E6" w14:textId="77777777" w:rsidR="004C2485" w:rsidRPr="002C63C0" w:rsidRDefault="004C2485" w:rsidP="00A870CB">
            <w:pPr>
              <w:tabs>
                <w:tab w:val="left" w:pos="851"/>
              </w:tabs>
              <w:rPr>
                <w:rFonts w:eastAsia="Calibri"/>
              </w:rPr>
            </w:pPr>
          </w:p>
        </w:tc>
        <w:tc>
          <w:tcPr>
            <w:tcW w:w="3402" w:type="dxa"/>
            <w:vAlign w:val="center"/>
          </w:tcPr>
          <w:p w14:paraId="2390CAE8" w14:textId="77777777" w:rsidR="004C2485" w:rsidRPr="002C63C0" w:rsidRDefault="004C2485" w:rsidP="00A870CB">
            <w:pPr>
              <w:tabs>
                <w:tab w:val="left" w:pos="851"/>
              </w:tabs>
              <w:rPr>
                <w:rFonts w:eastAsia="Calibri"/>
              </w:rPr>
            </w:pPr>
          </w:p>
        </w:tc>
      </w:tr>
      <w:tr w:rsidR="004C2485" w:rsidRPr="002C63C0" w14:paraId="224DB74B" w14:textId="77777777" w:rsidTr="004C2485">
        <w:tc>
          <w:tcPr>
            <w:tcW w:w="567" w:type="dxa"/>
          </w:tcPr>
          <w:p w14:paraId="06DFC25D" w14:textId="77777777" w:rsidR="004C2485" w:rsidRPr="002C63C0" w:rsidRDefault="004C2485" w:rsidP="00A870CB">
            <w:pPr>
              <w:numPr>
                <w:ilvl w:val="0"/>
                <w:numId w:val="39"/>
              </w:numPr>
              <w:ind w:left="426" w:hanging="426"/>
              <w:jc w:val="both"/>
              <w:rPr>
                <w:snapToGrid w:val="0"/>
              </w:rPr>
            </w:pPr>
          </w:p>
        </w:tc>
        <w:tc>
          <w:tcPr>
            <w:tcW w:w="2268" w:type="dxa"/>
            <w:vAlign w:val="center"/>
          </w:tcPr>
          <w:p w14:paraId="111BDF8C" w14:textId="7E7919CD" w:rsidR="004C2485" w:rsidRPr="002C63C0" w:rsidRDefault="004C2485" w:rsidP="004C2485">
            <w:pPr>
              <w:jc w:val="both"/>
              <w:rPr>
                <w:snapToGrid w:val="0"/>
              </w:rPr>
            </w:pPr>
          </w:p>
        </w:tc>
        <w:tc>
          <w:tcPr>
            <w:tcW w:w="3402" w:type="dxa"/>
            <w:vAlign w:val="center"/>
          </w:tcPr>
          <w:p w14:paraId="755BA68B" w14:textId="77777777" w:rsidR="004C2485" w:rsidRPr="002C63C0" w:rsidRDefault="004C2485" w:rsidP="00A870CB">
            <w:pPr>
              <w:tabs>
                <w:tab w:val="left" w:pos="851"/>
              </w:tabs>
              <w:rPr>
                <w:rFonts w:eastAsia="Calibri"/>
              </w:rPr>
            </w:pPr>
          </w:p>
        </w:tc>
        <w:tc>
          <w:tcPr>
            <w:tcW w:w="3402" w:type="dxa"/>
            <w:vAlign w:val="center"/>
          </w:tcPr>
          <w:p w14:paraId="58111489" w14:textId="77777777" w:rsidR="004C2485" w:rsidRPr="002C63C0" w:rsidRDefault="004C2485" w:rsidP="00A870CB">
            <w:pPr>
              <w:tabs>
                <w:tab w:val="left" w:pos="851"/>
              </w:tabs>
              <w:rPr>
                <w:rFonts w:eastAsia="Calibri"/>
              </w:rPr>
            </w:pPr>
          </w:p>
        </w:tc>
      </w:tr>
      <w:tr w:rsidR="004C2485" w:rsidRPr="002C63C0" w14:paraId="1D20D225" w14:textId="77777777" w:rsidTr="004C2485">
        <w:tc>
          <w:tcPr>
            <w:tcW w:w="567" w:type="dxa"/>
          </w:tcPr>
          <w:p w14:paraId="3FF04D37" w14:textId="77777777" w:rsidR="004C2485" w:rsidRPr="002C63C0" w:rsidRDefault="004C2485" w:rsidP="00A870CB">
            <w:pPr>
              <w:numPr>
                <w:ilvl w:val="0"/>
                <w:numId w:val="39"/>
              </w:numPr>
              <w:ind w:left="426" w:hanging="426"/>
              <w:jc w:val="both"/>
              <w:rPr>
                <w:snapToGrid w:val="0"/>
              </w:rPr>
            </w:pPr>
          </w:p>
        </w:tc>
        <w:tc>
          <w:tcPr>
            <w:tcW w:w="2268" w:type="dxa"/>
            <w:vAlign w:val="center"/>
          </w:tcPr>
          <w:p w14:paraId="1A7D84D3" w14:textId="51302B0C" w:rsidR="004C2485" w:rsidRPr="002C63C0" w:rsidRDefault="004C2485" w:rsidP="004C2485">
            <w:pPr>
              <w:jc w:val="both"/>
              <w:rPr>
                <w:snapToGrid w:val="0"/>
              </w:rPr>
            </w:pPr>
          </w:p>
        </w:tc>
        <w:tc>
          <w:tcPr>
            <w:tcW w:w="3402" w:type="dxa"/>
            <w:vAlign w:val="center"/>
          </w:tcPr>
          <w:p w14:paraId="5C5D5E8E" w14:textId="77777777" w:rsidR="004C2485" w:rsidRPr="002C63C0" w:rsidRDefault="004C2485" w:rsidP="00A870CB">
            <w:pPr>
              <w:tabs>
                <w:tab w:val="left" w:pos="851"/>
              </w:tabs>
              <w:rPr>
                <w:rFonts w:eastAsia="Calibri"/>
              </w:rPr>
            </w:pPr>
          </w:p>
        </w:tc>
        <w:tc>
          <w:tcPr>
            <w:tcW w:w="3402" w:type="dxa"/>
            <w:vAlign w:val="center"/>
          </w:tcPr>
          <w:p w14:paraId="05014781" w14:textId="77777777" w:rsidR="004C2485" w:rsidRPr="002C63C0" w:rsidRDefault="004C2485" w:rsidP="00A870CB">
            <w:pPr>
              <w:tabs>
                <w:tab w:val="left" w:pos="851"/>
              </w:tabs>
              <w:rPr>
                <w:rFonts w:eastAsia="Calibri"/>
              </w:rPr>
            </w:pPr>
          </w:p>
        </w:tc>
      </w:tr>
    </w:tbl>
    <w:p w14:paraId="0F2A845A" w14:textId="77777777" w:rsidR="002852B4" w:rsidRPr="002C63C0" w:rsidRDefault="002852B4" w:rsidP="00270FEB">
      <w:pPr>
        <w:widowControl w:val="0"/>
        <w:numPr>
          <w:ilvl w:val="0"/>
          <w:numId w:val="20"/>
        </w:numPr>
        <w:tabs>
          <w:tab w:val="left" w:pos="426"/>
        </w:tabs>
        <w:adjustRightInd w:val="0"/>
        <w:spacing w:before="120" w:after="120" w:line="259" w:lineRule="auto"/>
        <w:ind w:firstLine="207"/>
        <w:jc w:val="both"/>
        <w:textAlignment w:val="baseline"/>
        <w:rPr>
          <w:rFonts w:eastAsia="Calibri"/>
        </w:rPr>
      </w:pPr>
      <w:r w:rsidRPr="002C63C0">
        <w:rPr>
          <w:rFonts w:eastAsia="Calibri"/>
        </w:rPr>
        <w:t>Лицензиату запрещается:</w:t>
      </w:r>
    </w:p>
    <w:p w14:paraId="6D2418EE" w14:textId="77777777" w:rsidR="002852B4" w:rsidRPr="002C63C0" w:rsidRDefault="002852B4" w:rsidP="00270FE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Модификация Программ для ЭВМ: внесение изменений в Программы для ЭВМ и сопроводительную документацию, за исключением адаптации, т.е. внесения изменений, осуществляемых исключительно в целях функционирования Программ для ЭВМ на технических средствах Лицензиата.</w:t>
      </w:r>
    </w:p>
    <w:p w14:paraId="1CDD510F" w14:textId="77777777" w:rsidR="002852B4" w:rsidRPr="002C63C0" w:rsidRDefault="002852B4" w:rsidP="00270FE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70FEB">
        <w:rPr>
          <w:rFonts w:eastAsia="Calibri"/>
        </w:rPr>
        <w:t xml:space="preserve">Изучать технологию, </w:t>
      </w:r>
      <w:proofErr w:type="spellStart"/>
      <w:r w:rsidRPr="00270FEB">
        <w:rPr>
          <w:rFonts w:eastAsia="Calibri"/>
        </w:rPr>
        <w:t>декомпилировать</w:t>
      </w:r>
      <w:proofErr w:type="spellEnd"/>
      <w:r w:rsidRPr="00270FEB">
        <w:rPr>
          <w:rFonts w:eastAsia="Calibri"/>
        </w:rPr>
        <w:t xml:space="preserve"> или деассемблировать Программы для ЭВМ, а также предпринимать соответствующие попытки, кроме как в той мере и в тех случаях, когда это разрешено законодательством Российской Федерации или разрешено условиями лицензионных соглашений на использование компонентов с открытым исходным кодом, которые могут входить в состав этих Программ для ЭВМ.</w:t>
      </w:r>
    </w:p>
    <w:p w14:paraId="717B63D2" w14:textId="77777777" w:rsidR="002852B4" w:rsidRPr="002C63C0" w:rsidRDefault="002852B4" w:rsidP="00270FEB">
      <w:pPr>
        <w:widowControl w:val="0"/>
        <w:numPr>
          <w:ilvl w:val="1"/>
          <w:numId w:val="20"/>
        </w:numPr>
        <w:tabs>
          <w:tab w:val="left" w:pos="426"/>
        </w:tabs>
        <w:adjustRightInd w:val="0"/>
        <w:spacing w:before="120" w:after="120" w:line="259" w:lineRule="auto"/>
        <w:ind w:left="0" w:firstLine="567"/>
        <w:jc w:val="both"/>
        <w:textAlignment w:val="baseline"/>
        <w:rPr>
          <w:rFonts w:eastAsia="Calibri"/>
        </w:rPr>
      </w:pPr>
      <w:r w:rsidRPr="002C63C0">
        <w:rPr>
          <w:rFonts w:eastAsia="Calibri"/>
        </w:rPr>
        <w:t>Предоставление Программ для ЭВМ и сопроводительной документации третьим лицам, за исключением случаев перепродажи, при этом Лицензиат утрачивает право использования Программ для ЭВМ.</w:t>
      </w:r>
    </w:p>
    <w:p w14:paraId="25B1520C" w14:textId="77777777" w:rsidR="002852B4" w:rsidRPr="002C63C0" w:rsidRDefault="002852B4" w:rsidP="00270FEB">
      <w:pPr>
        <w:widowControl w:val="0"/>
        <w:numPr>
          <w:ilvl w:val="0"/>
          <w:numId w:val="20"/>
        </w:numPr>
        <w:tabs>
          <w:tab w:val="left" w:pos="426"/>
        </w:tabs>
        <w:adjustRightInd w:val="0"/>
        <w:spacing w:before="120" w:after="120" w:line="259" w:lineRule="auto"/>
        <w:ind w:firstLine="207"/>
        <w:jc w:val="both"/>
        <w:textAlignment w:val="baseline"/>
        <w:rPr>
          <w:rFonts w:eastAsia="Calibri"/>
        </w:rPr>
      </w:pPr>
      <w:r w:rsidRPr="002C63C0">
        <w:rPr>
          <w:rFonts w:eastAsia="Calibri"/>
        </w:rPr>
        <w:t>Прочие условия использования</w:t>
      </w:r>
    </w:p>
    <w:p w14:paraId="1EA5596C" w14:textId="546C5014" w:rsidR="002852B4" w:rsidRPr="00270FEB" w:rsidRDefault="002852B4" w:rsidP="00270FEB">
      <w:pPr>
        <w:widowControl w:val="0"/>
        <w:numPr>
          <w:ilvl w:val="1"/>
          <w:numId w:val="20"/>
        </w:numPr>
        <w:tabs>
          <w:tab w:val="left" w:pos="426"/>
        </w:tabs>
        <w:adjustRightInd w:val="0"/>
        <w:spacing w:before="120" w:after="120" w:line="259" w:lineRule="auto"/>
        <w:ind w:left="0" w:firstLine="567"/>
        <w:jc w:val="both"/>
        <w:textAlignment w:val="baseline"/>
      </w:pPr>
      <w:r w:rsidRPr="00270FEB">
        <w:t>Использование Программ для ЭВМ допускается на всей территории Российской Федерации.</w:t>
      </w:r>
    </w:p>
    <w:p w14:paraId="48644D84" w14:textId="77777777" w:rsidR="002852B4" w:rsidRPr="00270FEB" w:rsidRDefault="002852B4" w:rsidP="00270FEB">
      <w:pPr>
        <w:widowControl w:val="0"/>
        <w:numPr>
          <w:ilvl w:val="1"/>
          <w:numId w:val="20"/>
        </w:numPr>
        <w:tabs>
          <w:tab w:val="left" w:pos="426"/>
        </w:tabs>
        <w:adjustRightInd w:val="0"/>
        <w:spacing w:before="120" w:after="120" w:line="259" w:lineRule="auto"/>
        <w:ind w:left="0" w:firstLine="567"/>
        <w:jc w:val="both"/>
        <w:textAlignment w:val="baseline"/>
      </w:pPr>
      <w:r w:rsidRPr="00270FEB">
        <w:lastRenderedPageBreak/>
        <w:t>Программы для ЭВМ являются сложными продуктами и содержат компоненты как собственной разработки Лицензиара, так и сторонних разработчиков (далее – «Внешние компоненты»).</w:t>
      </w:r>
    </w:p>
    <w:p w14:paraId="4AFE8D28" w14:textId="77777777" w:rsidR="002852B4" w:rsidRPr="002C63C0" w:rsidRDefault="002852B4" w:rsidP="002852B4">
      <w:pPr>
        <w:widowControl w:val="0"/>
        <w:tabs>
          <w:tab w:val="left" w:pos="851"/>
        </w:tabs>
        <w:adjustRightInd w:val="0"/>
        <w:jc w:val="both"/>
        <w:textAlignment w:val="baseline"/>
        <w:rPr>
          <w:rFonts w:eastAsia="Calibri"/>
        </w:rPr>
      </w:pPr>
      <w:r w:rsidRPr="002C63C0">
        <w:rPr>
          <w:rFonts w:eastAsia="Calibri"/>
        </w:rPr>
        <w:tab/>
        <w:t xml:space="preserve">Права на Внешние компоненты – объекты интеллектуальной собственности, которые не являются разработкой Лицензиара, но входят в состав Программ для ЭВМ, включая любые входящие в ее состав элементы мультимедиа, программы, библиотеки, документацию, доступ к которым предоставляют Программы для ЭВМ, принадлежат владельцам прав на такие Внешние компоненты и защищены международными соглашениями и законодательством Российской Федерации о защите интеллектуальной собственности. </w:t>
      </w:r>
    </w:p>
    <w:p w14:paraId="227A06F5" w14:textId="77777777" w:rsidR="002852B4" w:rsidRPr="002C63C0" w:rsidRDefault="002852B4" w:rsidP="002852B4">
      <w:pPr>
        <w:widowControl w:val="0"/>
        <w:tabs>
          <w:tab w:val="left" w:pos="851"/>
        </w:tabs>
        <w:adjustRightInd w:val="0"/>
        <w:jc w:val="both"/>
        <w:textAlignment w:val="baseline"/>
        <w:rPr>
          <w:rFonts w:eastAsia="Calibri"/>
        </w:rPr>
      </w:pPr>
      <w:r w:rsidRPr="002C63C0">
        <w:rPr>
          <w:rFonts w:eastAsia="Calibri"/>
        </w:rPr>
        <w:tab/>
        <w:t>Все правовые аспекты использования Внешних компонентов определяются условиями отдельных лицензионных соглашений, разработанных правообладателями данных объектов интеллектуальной собственности. Указанные лицензионные соглашения правообладателей Внешних компонентов не накладывают дополнительных ограничений на использование Программ для ЭВМ сверх того, что указано в настоящем Лицензионном соглашении.</w:t>
      </w:r>
    </w:p>
    <w:p w14:paraId="3E69AD29" w14:textId="77777777" w:rsidR="002852B4" w:rsidRPr="002C63C0" w:rsidRDefault="002852B4" w:rsidP="002852B4">
      <w:pPr>
        <w:widowControl w:val="0"/>
        <w:tabs>
          <w:tab w:val="left" w:pos="851"/>
        </w:tabs>
        <w:adjustRightInd w:val="0"/>
        <w:jc w:val="both"/>
        <w:textAlignment w:val="baseline"/>
        <w:rPr>
          <w:rFonts w:eastAsia="Calibri"/>
        </w:rPr>
      </w:pPr>
      <w:r w:rsidRPr="002C63C0">
        <w:rPr>
          <w:rFonts w:eastAsia="Calibri"/>
        </w:rPr>
        <w:tab/>
        <w:t>Перечень Внешних компонентов, входящих в состав Программ для ЭВМ, содержится в эксплуатационной документации на Программы для ЭВМ.</w:t>
      </w:r>
    </w:p>
    <w:p w14:paraId="7724D4A9" w14:textId="77777777" w:rsidR="002852B4" w:rsidRPr="00270FEB" w:rsidRDefault="002852B4" w:rsidP="00270FEB">
      <w:pPr>
        <w:widowControl w:val="0"/>
        <w:numPr>
          <w:ilvl w:val="1"/>
          <w:numId w:val="20"/>
        </w:numPr>
        <w:tabs>
          <w:tab w:val="left" w:pos="426"/>
        </w:tabs>
        <w:adjustRightInd w:val="0"/>
        <w:spacing w:before="120" w:after="120" w:line="259" w:lineRule="auto"/>
        <w:ind w:left="0" w:firstLine="567"/>
        <w:jc w:val="both"/>
        <w:textAlignment w:val="baseline"/>
      </w:pPr>
      <w:r w:rsidRPr="00270FEB">
        <w:t>Программы для ЭВМ могут обновляться Лицензиаром. Лицензиат имеет право использовать полученные в качестве обновления Программы для ЭВМ только в соответствии с условиями и ограничениями настоящего Лицензионного соглашения.</w:t>
      </w:r>
    </w:p>
    <w:p w14:paraId="5AFF3E45" w14:textId="77777777" w:rsidR="002852B4" w:rsidRPr="002C63C0" w:rsidRDefault="002852B4" w:rsidP="002852B4">
      <w:pPr>
        <w:widowControl w:val="0"/>
        <w:numPr>
          <w:ilvl w:val="0"/>
          <w:numId w:val="21"/>
        </w:numPr>
        <w:adjustRightInd w:val="0"/>
        <w:spacing w:before="240" w:after="120" w:line="259" w:lineRule="auto"/>
        <w:ind w:left="709" w:firstLine="567"/>
        <w:jc w:val="both"/>
        <w:textAlignment w:val="baseline"/>
        <w:rPr>
          <w:b/>
        </w:rPr>
      </w:pPr>
      <w:r w:rsidRPr="002C63C0">
        <w:rPr>
          <w:b/>
        </w:rPr>
        <w:t xml:space="preserve">Использование в </w:t>
      </w:r>
      <w:proofErr w:type="spellStart"/>
      <w:r w:rsidRPr="002C63C0">
        <w:rPr>
          <w:b/>
        </w:rPr>
        <w:t>виртуализованной</w:t>
      </w:r>
      <w:proofErr w:type="spellEnd"/>
      <w:r w:rsidRPr="002C63C0">
        <w:rPr>
          <w:b/>
        </w:rPr>
        <w:t xml:space="preserve"> среде и посредством удаленного запуска</w:t>
      </w:r>
    </w:p>
    <w:p w14:paraId="0D04C60B" w14:textId="77777777" w:rsidR="002852B4" w:rsidRPr="002C63C0" w:rsidRDefault="002852B4" w:rsidP="002852B4">
      <w:pPr>
        <w:ind w:firstLine="709"/>
        <w:jc w:val="both"/>
      </w:pPr>
      <w:r w:rsidRPr="002C63C0">
        <w:t xml:space="preserve">Лицензиат вправе использовать экземпляры Программ для ЭВМ в </w:t>
      </w:r>
      <w:proofErr w:type="spellStart"/>
      <w:r w:rsidRPr="002C63C0">
        <w:t>виртуализованной</w:t>
      </w:r>
      <w:proofErr w:type="spellEnd"/>
      <w:r w:rsidRPr="002C63C0">
        <w:t xml:space="preserve"> среде, представляющей собой программную эмуляцию отдельных ЭВМ и их операционных систем. При этом, для определения допустимого количества используемых экземпляров Программ для ЭВМ, каждый экземпляр, запущенный в </w:t>
      </w:r>
      <w:proofErr w:type="spellStart"/>
      <w:r w:rsidRPr="002C63C0">
        <w:t>виртуализованной</w:t>
      </w:r>
      <w:proofErr w:type="spellEnd"/>
      <w:r w:rsidRPr="002C63C0">
        <w:t xml:space="preserve"> среде, приравнивается к аналогичному экземпляру, запущенному на отдельной аппаратной ЭВМ. </w:t>
      </w:r>
    </w:p>
    <w:p w14:paraId="0B2E59D5" w14:textId="77777777" w:rsidR="002852B4" w:rsidRPr="002C63C0" w:rsidRDefault="002852B4" w:rsidP="002852B4">
      <w:pPr>
        <w:ind w:firstLine="709"/>
        <w:jc w:val="both"/>
      </w:pPr>
      <w:r w:rsidRPr="002C63C0">
        <w:t>Лицензиат вправе использовать экземпляры Программ для ЭВМ в вычислительной сети в режиме, когда запуск и исполнение Программ для ЭВМ осуществляется на одной ЭВМ, а пользовательский интерфейс Программ для ЭВМ предоставляется на другой ЭВМ. Примером организации такой работы служит использование протокола удаленного рабочего стола (</w:t>
      </w:r>
      <w:r w:rsidRPr="002C63C0">
        <w:rPr>
          <w:lang w:val="en-US"/>
        </w:rPr>
        <w:t>Remote</w:t>
      </w:r>
      <w:r w:rsidRPr="002C63C0">
        <w:t xml:space="preserve"> </w:t>
      </w:r>
      <w:r w:rsidRPr="002C63C0">
        <w:rPr>
          <w:lang w:val="en-US"/>
        </w:rPr>
        <w:t>Desktop</w:t>
      </w:r>
      <w:r w:rsidRPr="002C63C0">
        <w:t xml:space="preserve"> </w:t>
      </w:r>
      <w:r w:rsidRPr="002C63C0">
        <w:rPr>
          <w:lang w:val="en-US"/>
        </w:rPr>
        <w:t>Protocol</w:t>
      </w:r>
      <w:r w:rsidRPr="002C63C0">
        <w:t xml:space="preserve">, RDP). При этом, для определения допустимого количества используемых экземпляров Программ для ЭВМ, каждый пользовательский интерфейс экземпляра Программы для ЭВМ, предоставленный на отдельной ЭВМ, приравнивается к аналогичному экземпляру, запущенному на отдельной ЭВМ.  </w:t>
      </w:r>
    </w:p>
    <w:p w14:paraId="0C38FEF3" w14:textId="77777777" w:rsidR="002852B4" w:rsidRPr="002C63C0" w:rsidRDefault="002852B4" w:rsidP="002852B4">
      <w:pPr>
        <w:widowControl w:val="0"/>
        <w:numPr>
          <w:ilvl w:val="0"/>
          <w:numId w:val="21"/>
        </w:numPr>
        <w:adjustRightInd w:val="0"/>
        <w:spacing w:before="240" w:after="120" w:line="259" w:lineRule="auto"/>
        <w:ind w:left="709" w:firstLine="567"/>
        <w:jc w:val="both"/>
        <w:textAlignment w:val="baseline"/>
        <w:rPr>
          <w:b/>
        </w:rPr>
      </w:pPr>
      <w:r w:rsidRPr="002C63C0">
        <w:rPr>
          <w:b/>
        </w:rPr>
        <w:t>Срок использования</w:t>
      </w:r>
    </w:p>
    <w:p w14:paraId="01995718" w14:textId="77777777" w:rsidR="002852B4" w:rsidRPr="002C63C0" w:rsidRDefault="002852B4" w:rsidP="002852B4">
      <w:pPr>
        <w:ind w:firstLine="709"/>
        <w:jc w:val="both"/>
      </w:pPr>
      <w:r w:rsidRPr="002C63C0">
        <w:t xml:space="preserve">Лицензиату предоставляется право использования Программ для ЭВМ на весь срок действия исключительного права </w:t>
      </w:r>
      <w:r w:rsidRPr="002C63C0">
        <w:rPr>
          <w:rFonts w:cs="Arial"/>
        </w:rPr>
        <w:t>(бессрочная лицензия)</w:t>
      </w:r>
      <w:r w:rsidRPr="002C63C0">
        <w:t>.</w:t>
      </w:r>
    </w:p>
    <w:p w14:paraId="72AEEAA3" w14:textId="77777777" w:rsidR="002852B4" w:rsidRPr="002C63C0" w:rsidRDefault="002852B4" w:rsidP="002852B4">
      <w:pPr>
        <w:widowControl w:val="0"/>
        <w:numPr>
          <w:ilvl w:val="0"/>
          <w:numId w:val="21"/>
        </w:numPr>
        <w:tabs>
          <w:tab w:val="left" w:pos="-142"/>
        </w:tabs>
        <w:adjustRightInd w:val="0"/>
        <w:spacing w:before="240" w:after="120" w:line="259" w:lineRule="auto"/>
        <w:ind w:left="709" w:firstLine="567"/>
        <w:jc w:val="both"/>
        <w:textAlignment w:val="baseline"/>
        <w:rPr>
          <w:b/>
        </w:rPr>
      </w:pPr>
      <w:r w:rsidRPr="002C63C0">
        <w:rPr>
          <w:b/>
        </w:rPr>
        <w:t>Ответственность за косвенный ущерб</w:t>
      </w:r>
    </w:p>
    <w:p w14:paraId="3B6C74E4" w14:textId="77777777" w:rsidR="002852B4" w:rsidRPr="002C63C0" w:rsidRDefault="002852B4" w:rsidP="002852B4">
      <w:pPr>
        <w:ind w:firstLine="709"/>
        <w:jc w:val="both"/>
      </w:pPr>
      <w:r w:rsidRPr="002C63C0">
        <w:t xml:space="preserve">Лицензиар не несет ответственность за какие-либо убытки, связанные с использованием или невозможностью использования Программ для ЭВМ. </w:t>
      </w:r>
    </w:p>
    <w:sectPr w:rsidR="002852B4" w:rsidRPr="002C63C0" w:rsidSect="00636B9D">
      <w:headerReference w:type="even" r:id="rId7"/>
      <w:footerReference w:type="default" r:id="rId8"/>
      <w:pgSz w:w="11906" w:h="16838"/>
      <w:pgMar w:top="899" w:right="92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A7D8D" w14:textId="77777777" w:rsidR="00AD614A" w:rsidRDefault="00AD614A">
      <w:r>
        <w:separator/>
      </w:r>
    </w:p>
  </w:endnote>
  <w:endnote w:type="continuationSeparator" w:id="0">
    <w:p w14:paraId="50E84B1D" w14:textId="77777777" w:rsidR="00AD614A" w:rsidRDefault="00AD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6B5D" w14:textId="30922E2E" w:rsidR="00AD614A" w:rsidRPr="008D302B" w:rsidRDefault="00AD614A">
    <w:pPr>
      <w:pStyle w:val="ab"/>
      <w:jc w:val="right"/>
    </w:pPr>
    <w:r w:rsidRPr="008D302B">
      <w:t xml:space="preserve">Стр. </w:t>
    </w:r>
    <w:r w:rsidRPr="008D302B">
      <w:rPr>
        <w:b/>
      </w:rPr>
      <w:fldChar w:fldCharType="begin"/>
    </w:r>
    <w:r w:rsidRPr="008D302B">
      <w:rPr>
        <w:b/>
      </w:rPr>
      <w:instrText>PAGE</w:instrText>
    </w:r>
    <w:r w:rsidRPr="008D302B">
      <w:rPr>
        <w:b/>
      </w:rPr>
      <w:fldChar w:fldCharType="separate"/>
    </w:r>
    <w:r w:rsidR="006C65F7">
      <w:rPr>
        <w:b/>
        <w:noProof/>
      </w:rPr>
      <w:t>9</w:t>
    </w:r>
    <w:r w:rsidRPr="008D302B">
      <w:rPr>
        <w:b/>
      </w:rPr>
      <w:fldChar w:fldCharType="end"/>
    </w:r>
    <w:r w:rsidRPr="008D302B">
      <w:t xml:space="preserve"> из </w:t>
    </w:r>
    <w:r w:rsidRPr="008D302B">
      <w:rPr>
        <w:b/>
      </w:rPr>
      <w:fldChar w:fldCharType="begin"/>
    </w:r>
    <w:r w:rsidRPr="008D302B">
      <w:rPr>
        <w:b/>
      </w:rPr>
      <w:instrText>NUMPAGES</w:instrText>
    </w:r>
    <w:r w:rsidRPr="008D302B">
      <w:rPr>
        <w:b/>
      </w:rPr>
      <w:fldChar w:fldCharType="separate"/>
    </w:r>
    <w:r w:rsidR="006C65F7">
      <w:rPr>
        <w:b/>
        <w:noProof/>
      </w:rPr>
      <w:t>12</w:t>
    </w:r>
    <w:r w:rsidRPr="008D302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4748B" w14:textId="77777777" w:rsidR="00AD614A" w:rsidRDefault="00AD614A">
      <w:r>
        <w:separator/>
      </w:r>
    </w:p>
  </w:footnote>
  <w:footnote w:type="continuationSeparator" w:id="0">
    <w:p w14:paraId="26230520" w14:textId="77777777" w:rsidR="00AD614A" w:rsidRDefault="00AD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281A" w14:textId="77777777" w:rsidR="00AD614A" w:rsidRDefault="00AD614A" w:rsidP="00636B9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240451C" w14:textId="77777777" w:rsidR="00AD614A" w:rsidRDefault="00AD614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ECB"/>
    <w:multiLevelType w:val="hybridMultilevel"/>
    <w:tmpl w:val="18C6E562"/>
    <w:lvl w:ilvl="0" w:tplc="9BA46A36">
      <w:start w:val="1"/>
      <w:numFmt w:val="decimal"/>
      <w:lvlText w:val="7.2.%1."/>
      <w:lvlJc w:val="left"/>
      <w:pPr>
        <w:ind w:left="1428" w:hanging="360"/>
      </w:pPr>
      <w:rPr>
        <w:rFonts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4BE2F9F"/>
    <w:multiLevelType w:val="hybridMultilevel"/>
    <w:tmpl w:val="025241C2"/>
    <w:lvl w:ilvl="0" w:tplc="F6DE4D9A">
      <w:start w:val="1"/>
      <w:numFmt w:val="decimal"/>
      <w:lvlText w:val="%1."/>
      <w:lvlJc w:val="left"/>
      <w:pPr>
        <w:tabs>
          <w:tab w:val="num" w:pos="720"/>
        </w:tabs>
        <w:ind w:left="720" w:hanging="360"/>
      </w:pPr>
      <w:rPr>
        <w:rFonts w:hint="default"/>
        <w:b w:val="0"/>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 w15:restartNumberingAfterBreak="0">
    <w:nsid w:val="0544211F"/>
    <w:multiLevelType w:val="hybridMultilevel"/>
    <w:tmpl w:val="2DC8B31C"/>
    <w:lvl w:ilvl="0" w:tplc="015A3560">
      <w:start w:val="1"/>
      <w:numFmt w:val="decimal"/>
      <w:lvlText w:val="1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0D6106"/>
    <w:multiLevelType w:val="hybridMultilevel"/>
    <w:tmpl w:val="EF8203F4"/>
    <w:lvl w:ilvl="0" w:tplc="F6DE4D9A">
      <w:start w:val="1"/>
      <w:numFmt w:val="decimal"/>
      <w:lvlText w:val="%1."/>
      <w:lvlJc w:val="left"/>
      <w:pPr>
        <w:tabs>
          <w:tab w:val="num" w:pos="720"/>
        </w:tabs>
        <w:ind w:left="720" w:hanging="360"/>
      </w:pPr>
      <w:rPr>
        <w:rFonts w:hint="default"/>
        <w:b w:val="0"/>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4" w15:restartNumberingAfterBreak="0">
    <w:nsid w:val="06300621"/>
    <w:multiLevelType w:val="hybridMultilevel"/>
    <w:tmpl w:val="5984A2E2"/>
    <w:lvl w:ilvl="0" w:tplc="68DC6028">
      <w:start w:val="1"/>
      <w:numFmt w:val="decimal"/>
      <w:lvlText w:val="13.%1."/>
      <w:lvlJc w:val="left"/>
      <w:pPr>
        <w:ind w:left="1800" w:hanging="360"/>
      </w:pPr>
      <w:rPr>
        <w:rFonts w:hint="default"/>
        <w:b w:val="0"/>
        <w:sz w:val="24"/>
        <w:szCs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8F43B94"/>
    <w:multiLevelType w:val="multilevel"/>
    <w:tmpl w:val="9A9E35FC"/>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252768D"/>
    <w:multiLevelType w:val="hybridMultilevel"/>
    <w:tmpl w:val="8098B020"/>
    <w:lvl w:ilvl="0" w:tplc="E50E10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6D6E8F"/>
    <w:multiLevelType w:val="hybridMultilevel"/>
    <w:tmpl w:val="84A406C2"/>
    <w:lvl w:ilvl="0" w:tplc="C15EE4D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705AEA"/>
    <w:multiLevelType w:val="hybridMultilevel"/>
    <w:tmpl w:val="C8469D94"/>
    <w:lvl w:ilvl="0" w:tplc="FA02BBCA">
      <w:start w:val="1"/>
      <w:numFmt w:val="decimal"/>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89C4D4F"/>
    <w:multiLevelType w:val="multilevel"/>
    <w:tmpl w:val="0C1E255C"/>
    <w:lvl w:ilvl="0">
      <w:start w:val="11"/>
      <w:numFmt w:val="decimal"/>
      <w:lvlText w:val="%1."/>
      <w:lvlJc w:val="left"/>
      <w:pPr>
        <w:ind w:left="480" w:hanging="480"/>
      </w:pPr>
      <w:rPr>
        <w:rFonts w:hint="default"/>
      </w:rPr>
    </w:lvl>
    <w:lvl w:ilvl="1">
      <w:start w:val="1"/>
      <w:numFmt w:val="decimal"/>
      <w:lvlText w:val="14.%2."/>
      <w:lvlJc w:val="left"/>
      <w:pPr>
        <w:ind w:left="480" w:hanging="48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CC7A9E"/>
    <w:multiLevelType w:val="hybridMultilevel"/>
    <w:tmpl w:val="1E76E856"/>
    <w:lvl w:ilvl="0" w:tplc="A52AEEBC">
      <w:start w:val="9"/>
      <w:numFmt w:val="decimal"/>
      <w:lvlText w:val="%1."/>
      <w:lvlJc w:val="left"/>
      <w:pPr>
        <w:tabs>
          <w:tab w:val="num" w:pos="1408"/>
        </w:tabs>
        <w:ind w:left="1465" w:hanging="397"/>
      </w:pPr>
      <w:rPr>
        <w:rFonts w:hint="default"/>
        <w:b/>
        <w:sz w:val="24"/>
        <w:szCs w:val="24"/>
      </w:rPr>
    </w:lvl>
    <w:lvl w:ilvl="1" w:tplc="F4EA768C">
      <w:start w:val="1"/>
      <w:numFmt w:val="decimal"/>
      <w:lvlText w:val="12.%2."/>
      <w:lvlJc w:val="left"/>
      <w:pPr>
        <w:ind w:left="1440" w:hanging="360"/>
      </w:pPr>
      <w:rPr>
        <w:rFonts w:hint="default"/>
        <w:b w:val="0"/>
        <w:sz w:val="24"/>
        <w:szCs w:val="24"/>
      </w:rPr>
    </w:lvl>
    <w:lvl w:ilvl="2" w:tplc="A8EE2108">
      <w:start w:val="50"/>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2034B"/>
    <w:multiLevelType w:val="hybridMultilevel"/>
    <w:tmpl w:val="2662CF56"/>
    <w:lvl w:ilvl="0" w:tplc="A52AEEBC">
      <w:start w:val="9"/>
      <w:numFmt w:val="decimal"/>
      <w:lvlText w:val="%1."/>
      <w:lvlJc w:val="left"/>
      <w:pPr>
        <w:tabs>
          <w:tab w:val="num" w:pos="1408"/>
        </w:tabs>
        <w:ind w:left="1465" w:hanging="397"/>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FD4A22"/>
    <w:multiLevelType w:val="hybridMultilevel"/>
    <w:tmpl w:val="8C88D9BA"/>
    <w:lvl w:ilvl="0" w:tplc="B0FAD5FC">
      <w:start w:val="1"/>
      <w:numFmt w:val="decimal"/>
      <w:lvlText w:val="%1."/>
      <w:lvlJc w:val="left"/>
      <w:pPr>
        <w:ind w:left="303" w:hanging="360"/>
      </w:pPr>
      <w:rPr>
        <w:rFonts w:hint="default"/>
      </w:rPr>
    </w:lvl>
    <w:lvl w:ilvl="1" w:tplc="04190019">
      <w:start w:val="1"/>
      <w:numFmt w:val="lowerLetter"/>
      <w:lvlText w:val="%2."/>
      <w:lvlJc w:val="left"/>
      <w:pPr>
        <w:ind w:left="1023" w:hanging="360"/>
      </w:pPr>
    </w:lvl>
    <w:lvl w:ilvl="2" w:tplc="0419001B">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3" w15:restartNumberingAfterBreak="0">
    <w:nsid w:val="254A336D"/>
    <w:multiLevelType w:val="multilevel"/>
    <w:tmpl w:val="7BEC917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5361F"/>
    <w:multiLevelType w:val="hybridMultilevel"/>
    <w:tmpl w:val="8C88D9BA"/>
    <w:lvl w:ilvl="0" w:tplc="B0FAD5FC">
      <w:start w:val="1"/>
      <w:numFmt w:val="decimal"/>
      <w:lvlText w:val="%1."/>
      <w:lvlJc w:val="left"/>
      <w:pPr>
        <w:ind w:left="303" w:hanging="360"/>
      </w:pPr>
      <w:rPr>
        <w:rFonts w:hint="default"/>
      </w:rPr>
    </w:lvl>
    <w:lvl w:ilvl="1" w:tplc="04190019">
      <w:start w:val="1"/>
      <w:numFmt w:val="lowerLetter"/>
      <w:lvlText w:val="%2."/>
      <w:lvlJc w:val="left"/>
      <w:pPr>
        <w:ind w:left="1023" w:hanging="360"/>
      </w:pPr>
    </w:lvl>
    <w:lvl w:ilvl="2" w:tplc="0419001B">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5" w15:restartNumberingAfterBreak="0">
    <w:nsid w:val="28D77F9F"/>
    <w:multiLevelType w:val="hybridMultilevel"/>
    <w:tmpl w:val="025241C2"/>
    <w:lvl w:ilvl="0" w:tplc="F6DE4D9A">
      <w:start w:val="1"/>
      <w:numFmt w:val="decimal"/>
      <w:lvlText w:val="%1."/>
      <w:lvlJc w:val="left"/>
      <w:pPr>
        <w:tabs>
          <w:tab w:val="num" w:pos="720"/>
        </w:tabs>
        <w:ind w:left="720" w:hanging="360"/>
      </w:pPr>
      <w:rPr>
        <w:rFonts w:hint="default"/>
        <w:b w:val="0"/>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6" w15:restartNumberingAfterBreak="0">
    <w:nsid w:val="28E50795"/>
    <w:multiLevelType w:val="hybridMultilevel"/>
    <w:tmpl w:val="2EC2351E"/>
    <w:lvl w:ilvl="0" w:tplc="F6DE4D9A">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5C61BB"/>
    <w:multiLevelType w:val="hybridMultilevel"/>
    <w:tmpl w:val="A7501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2464DD"/>
    <w:multiLevelType w:val="hybridMultilevel"/>
    <w:tmpl w:val="25FA750E"/>
    <w:lvl w:ilvl="0" w:tplc="15D28A82">
      <w:start w:val="1"/>
      <w:numFmt w:val="decimal"/>
      <w:lvlText w:val="3.2.%1."/>
      <w:lvlJc w:val="left"/>
      <w:pPr>
        <w:ind w:left="1428" w:hanging="360"/>
      </w:pPr>
      <w:rPr>
        <w:rFonts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2CD7705B"/>
    <w:multiLevelType w:val="hybridMultilevel"/>
    <w:tmpl w:val="402EA29C"/>
    <w:lvl w:ilvl="0" w:tplc="216EC5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0684BCD"/>
    <w:multiLevelType w:val="hybridMultilevel"/>
    <w:tmpl w:val="025241C2"/>
    <w:lvl w:ilvl="0" w:tplc="F6DE4D9A">
      <w:start w:val="1"/>
      <w:numFmt w:val="decimal"/>
      <w:lvlText w:val="%1."/>
      <w:lvlJc w:val="left"/>
      <w:pPr>
        <w:tabs>
          <w:tab w:val="num" w:pos="720"/>
        </w:tabs>
        <w:ind w:left="720" w:hanging="360"/>
      </w:pPr>
      <w:rPr>
        <w:rFonts w:hint="default"/>
        <w:b w:val="0"/>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1" w15:restartNumberingAfterBreak="0">
    <w:nsid w:val="35703EC6"/>
    <w:multiLevelType w:val="multilevel"/>
    <w:tmpl w:val="CCF678DE"/>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783DC8"/>
    <w:multiLevelType w:val="multilevel"/>
    <w:tmpl w:val="EB1C43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AFC134B"/>
    <w:multiLevelType w:val="hybridMultilevel"/>
    <w:tmpl w:val="60B8C6F2"/>
    <w:lvl w:ilvl="0" w:tplc="AD46CE56">
      <w:start w:val="1"/>
      <w:numFmt w:val="decimal"/>
      <w:lvlText w:val="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C906CF"/>
    <w:multiLevelType w:val="hybridMultilevel"/>
    <w:tmpl w:val="DA966EEC"/>
    <w:lvl w:ilvl="0" w:tplc="41DAB388">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4D7256F"/>
    <w:multiLevelType w:val="hybridMultilevel"/>
    <w:tmpl w:val="D8D6322C"/>
    <w:lvl w:ilvl="0" w:tplc="8CD433F0">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45522409"/>
    <w:multiLevelType w:val="hybridMultilevel"/>
    <w:tmpl w:val="F92EE690"/>
    <w:lvl w:ilvl="0" w:tplc="458C65FA">
      <w:start w:val="1"/>
      <w:numFmt w:val="decimal"/>
      <w:lvlText w:val="%1."/>
      <w:lvlJc w:val="left"/>
      <w:pPr>
        <w:tabs>
          <w:tab w:val="num" w:pos="720"/>
        </w:tabs>
        <w:ind w:left="720" w:hanging="360"/>
      </w:pPr>
      <w:rPr>
        <w:rFonts w:hint="default"/>
        <w:b/>
      </w:rPr>
    </w:lvl>
    <w:lvl w:ilvl="1" w:tplc="D416C836">
      <w:numFmt w:val="none"/>
      <w:lvlText w:val=""/>
      <w:lvlJc w:val="left"/>
      <w:pPr>
        <w:tabs>
          <w:tab w:val="num" w:pos="360"/>
        </w:tabs>
      </w:pPr>
    </w:lvl>
    <w:lvl w:ilvl="2" w:tplc="64E042E8">
      <w:numFmt w:val="none"/>
      <w:lvlText w:val=""/>
      <w:lvlJc w:val="left"/>
      <w:pPr>
        <w:tabs>
          <w:tab w:val="num" w:pos="360"/>
        </w:tabs>
      </w:pPr>
    </w:lvl>
    <w:lvl w:ilvl="3" w:tplc="1244F7E0">
      <w:numFmt w:val="none"/>
      <w:lvlText w:val=""/>
      <w:lvlJc w:val="left"/>
      <w:pPr>
        <w:tabs>
          <w:tab w:val="num" w:pos="360"/>
        </w:tabs>
      </w:pPr>
    </w:lvl>
    <w:lvl w:ilvl="4" w:tplc="ED9E56C8">
      <w:numFmt w:val="none"/>
      <w:lvlText w:val=""/>
      <w:lvlJc w:val="left"/>
      <w:pPr>
        <w:tabs>
          <w:tab w:val="num" w:pos="360"/>
        </w:tabs>
      </w:pPr>
    </w:lvl>
    <w:lvl w:ilvl="5" w:tplc="B26424EA">
      <w:numFmt w:val="none"/>
      <w:lvlText w:val=""/>
      <w:lvlJc w:val="left"/>
      <w:pPr>
        <w:tabs>
          <w:tab w:val="num" w:pos="360"/>
        </w:tabs>
      </w:pPr>
    </w:lvl>
    <w:lvl w:ilvl="6" w:tplc="696014D8">
      <w:numFmt w:val="none"/>
      <w:lvlText w:val=""/>
      <w:lvlJc w:val="left"/>
      <w:pPr>
        <w:tabs>
          <w:tab w:val="num" w:pos="360"/>
        </w:tabs>
      </w:pPr>
    </w:lvl>
    <w:lvl w:ilvl="7" w:tplc="117047EA">
      <w:numFmt w:val="none"/>
      <w:lvlText w:val=""/>
      <w:lvlJc w:val="left"/>
      <w:pPr>
        <w:tabs>
          <w:tab w:val="num" w:pos="360"/>
        </w:tabs>
      </w:pPr>
    </w:lvl>
    <w:lvl w:ilvl="8" w:tplc="5BC61734">
      <w:numFmt w:val="none"/>
      <w:lvlText w:val=""/>
      <w:lvlJc w:val="left"/>
      <w:pPr>
        <w:tabs>
          <w:tab w:val="num" w:pos="360"/>
        </w:tabs>
      </w:pPr>
    </w:lvl>
  </w:abstractNum>
  <w:abstractNum w:abstractNumId="27" w15:restartNumberingAfterBreak="0">
    <w:nsid w:val="456857FA"/>
    <w:multiLevelType w:val="multilevel"/>
    <w:tmpl w:val="8FDC715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E563A7"/>
    <w:multiLevelType w:val="multilevel"/>
    <w:tmpl w:val="7CBCC11C"/>
    <w:lvl w:ilvl="0">
      <w:start w:val="1"/>
      <w:numFmt w:val="upperRoman"/>
      <w:lvlText w:val="%1."/>
      <w:lvlJc w:val="righ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191A8F"/>
    <w:multiLevelType w:val="hybridMultilevel"/>
    <w:tmpl w:val="1EE80086"/>
    <w:lvl w:ilvl="0" w:tplc="16AA00A6">
      <w:start w:val="1"/>
      <w:numFmt w:val="bullet"/>
      <w:lvlText w:val="−"/>
      <w:lvlJc w:val="left"/>
      <w:pPr>
        <w:tabs>
          <w:tab w:val="num" w:pos="1208"/>
        </w:tabs>
        <w:ind w:left="1208" w:hanging="360"/>
      </w:pPr>
      <w:rPr>
        <w:rFonts w:ascii="Times New Roman" w:hAnsi="Times New Roman" w:cs="Times New Roman" w:hint="default"/>
        <w:color w:val="auto"/>
      </w:rPr>
    </w:lvl>
    <w:lvl w:ilvl="1" w:tplc="04190003" w:tentative="1">
      <w:start w:val="1"/>
      <w:numFmt w:val="bullet"/>
      <w:lvlText w:val="o"/>
      <w:lvlJc w:val="left"/>
      <w:pPr>
        <w:tabs>
          <w:tab w:val="num" w:pos="2285"/>
        </w:tabs>
        <w:ind w:left="2285" w:hanging="360"/>
      </w:pPr>
      <w:rPr>
        <w:rFonts w:ascii="Courier New" w:hAnsi="Courier New" w:cs="Courier New" w:hint="default"/>
      </w:rPr>
    </w:lvl>
    <w:lvl w:ilvl="2" w:tplc="04190005" w:tentative="1">
      <w:start w:val="1"/>
      <w:numFmt w:val="bullet"/>
      <w:lvlText w:val=""/>
      <w:lvlJc w:val="left"/>
      <w:pPr>
        <w:tabs>
          <w:tab w:val="num" w:pos="3005"/>
        </w:tabs>
        <w:ind w:left="3005" w:hanging="360"/>
      </w:pPr>
      <w:rPr>
        <w:rFonts w:ascii="Wingdings" w:hAnsi="Wingdings" w:hint="default"/>
      </w:rPr>
    </w:lvl>
    <w:lvl w:ilvl="3" w:tplc="04190001" w:tentative="1">
      <w:start w:val="1"/>
      <w:numFmt w:val="bullet"/>
      <w:lvlText w:val=""/>
      <w:lvlJc w:val="left"/>
      <w:pPr>
        <w:tabs>
          <w:tab w:val="num" w:pos="3725"/>
        </w:tabs>
        <w:ind w:left="3725" w:hanging="360"/>
      </w:pPr>
      <w:rPr>
        <w:rFonts w:ascii="Symbol" w:hAnsi="Symbol" w:hint="default"/>
      </w:rPr>
    </w:lvl>
    <w:lvl w:ilvl="4" w:tplc="04190003" w:tentative="1">
      <w:start w:val="1"/>
      <w:numFmt w:val="bullet"/>
      <w:lvlText w:val="o"/>
      <w:lvlJc w:val="left"/>
      <w:pPr>
        <w:tabs>
          <w:tab w:val="num" w:pos="4445"/>
        </w:tabs>
        <w:ind w:left="4445" w:hanging="360"/>
      </w:pPr>
      <w:rPr>
        <w:rFonts w:ascii="Courier New" w:hAnsi="Courier New" w:cs="Courier New" w:hint="default"/>
      </w:rPr>
    </w:lvl>
    <w:lvl w:ilvl="5" w:tplc="04190005" w:tentative="1">
      <w:start w:val="1"/>
      <w:numFmt w:val="bullet"/>
      <w:lvlText w:val=""/>
      <w:lvlJc w:val="left"/>
      <w:pPr>
        <w:tabs>
          <w:tab w:val="num" w:pos="5165"/>
        </w:tabs>
        <w:ind w:left="5165" w:hanging="360"/>
      </w:pPr>
      <w:rPr>
        <w:rFonts w:ascii="Wingdings" w:hAnsi="Wingdings" w:hint="default"/>
      </w:rPr>
    </w:lvl>
    <w:lvl w:ilvl="6" w:tplc="04190001" w:tentative="1">
      <w:start w:val="1"/>
      <w:numFmt w:val="bullet"/>
      <w:lvlText w:val=""/>
      <w:lvlJc w:val="left"/>
      <w:pPr>
        <w:tabs>
          <w:tab w:val="num" w:pos="5885"/>
        </w:tabs>
        <w:ind w:left="5885" w:hanging="360"/>
      </w:pPr>
      <w:rPr>
        <w:rFonts w:ascii="Symbol" w:hAnsi="Symbol" w:hint="default"/>
      </w:rPr>
    </w:lvl>
    <w:lvl w:ilvl="7" w:tplc="04190003" w:tentative="1">
      <w:start w:val="1"/>
      <w:numFmt w:val="bullet"/>
      <w:lvlText w:val="o"/>
      <w:lvlJc w:val="left"/>
      <w:pPr>
        <w:tabs>
          <w:tab w:val="num" w:pos="6605"/>
        </w:tabs>
        <w:ind w:left="6605" w:hanging="360"/>
      </w:pPr>
      <w:rPr>
        <w:rFonts w:ascii="Courier New" w:hAnsi="Courier New" w:cs="Courier New" w:hint="default"/>
      </w:rPr>
    </w:lvl>
    <w:lvl w:ilvl="8" w:tplc="04190005" w:tentative="1">
      <w:start w:val="1"/>
      <w:numFmt w:val="bullet"/>
      <w:lvlText w:val=""/>
      <w:lvlJc w:val="left"/>
      <w:pPr>
        <w:tabs>
          <w:tab w:val="num" w:pos="7325"/>
        </w:tabs>
        <w:ind w:left="7325" w:hanging="360"/>
      </w:pPr>
      <w:rPr>
        <w:rFonts w:ascii="Wingdings" w:hAnsi="Wingdings" w:hint="default"/>
      </w:rPr>
    </w:lvl>
  </w:abstractNum>
  <w:abstractNum w:abstractNumId="30" w15:restartNumberingAfterBreak="0">
    <w:nsid w:val="496729DD"/>
    <w:multiLevelType w:val="hybridMultilevel"/>
    <w:tmpl w:val="C80C0888"/>
    <w:lvl w:ilvl="0" w:tplc="1BCE100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C28D2"/>
    <w:multiLevelType w:val="multilevel"/>
    <w:tmpl w:val="6F0229E2"/>
    <w:lvl w:ilvl="0">
      <w:start w:val="2"/>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lang w:val="ru-RU"/>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E506296"/>
    <w:multiLevelType w:val="hybridMultilevel"/>
    <w:tmpl w:val="0D20E88A"/>
    <w:lvl w:ilvl="0" w:tplc="5F90AB2A">
      <w:start w:val="1"/>
      <w:numFmt w:val="decimal"/>
      <w:lvlText w:val="6.%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F174E23"/>
    <w:multiLevelType w:val="hybridMultilevel"/>
    <w:tmpl w:val="828A9080"/>
    <w:lvl w:ilvl="0" w:tplc="160E6C26">
      <w:start w:val="1"/>
      <w:numFmt w:val="decimal"/>
      <w:lvlText w:val="5.%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5F54623B"/>
    <w:multiLevelType w:val="hybridMultilevel"/>
    <w:tmpl w:val="E0CEE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AE4E37"/>
    <w:multiLevelType w:val="hybridMultilevel"/>
    <w:tmpl w:val="025241C2"/>
    <w:lvl w:ilvl="0" w:tplc="F6DE4D9A">
      <w:start w:val="1"/>
      <w:numFmt w:val="decimal"/>
      <w:lvlText w:val="%1."/>
      <w:lvlJc w:val="left"/>
      <w:pPr>
        <w:tabs>
          <w:tab w:val="num" w:pos="720"/>
        </w:tabs>
        <w:ind w:left="720" w:hanging="360"/>
      </w:pPr>
      <w:rPr>
        <w:rFonts w:hint="default"/>
        <w:b w:val="0"/>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6" w15:restartNumberingAfterBreak="0">
    <w:nsid w:val="66383BFD"/>
    <w:multiLevelType w:val="multilevel"/>
    <w:tmpl w:val="E842B108"/>
    <w:lvl w:ilvl="0">
      <w:start w:val="10"/>
      <w:numFmt w:val="decimal"/>
      <w:lvlText w:val="%1."/>
      <w:lvlJc w:val="left"/>
      <w:pPr>
        <w:ind w:left="480" w:hanging="480"/>
      </w:pPr>
      <w:rPr>
        <w:rFonts w:hint="default"/>
      </w:rPr>
    </w:lvl>
    <w:lvl w:ilvl="1">
      <w:start w:val="1"/>
      <w:numFmt w:val="decimal"/>
      <w:lvlText w:val="10.%2."/>
      <w:lvlJc w:val="left"/>
      <w:pPr>
        <w:ind w:left="1757"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C07395"/>
    <w:multiLevelType w:val="multilevel"/>
    <w:tmpl w:val="CF0A63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9467D91"/>
    <w:multiLevelType w:val="hybridMultilevel"/>
    <w:tmpl w:val="E4A8ABCE"/>
    <w:lvl w:ilvl="0" w:tplc="B406E74E">
      <w:start w:val="1"/>
      <w:numFmt w:val="decimal"/>
      <w:lvlText w:val="3.1.%1."/>
      <w:lvlJc w:val="left"/>
      <w:pPr>
        <w:ind w:left="1428" w:hanging="360"/>
      </w:pPr>
      <w:rPr>
        <w:rFonts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DE23DBA"/>
    <w:multiLevelType w:val="hybridMultilevel"/>
    <w:tmpl w:val="8C88D9BA"/>
    <w:lvl w:ilvl="0" w:tplc="B0FAD5FC">
      <w:start w:val="1"/>
      <w:numFmt w:val="decimal"/>
      <w:lvlText w:val="%1."/>
      <w:lvlJc w:val="left"/>
      <w:pPr>
        <w:ind w:left="303" w:hanging="360"/>
      </w:pPr>
      <w:rPr>
        <w:rFonts w:hint="default"/>
      </w:rPr>
    </w:lvl>
    <w:lvl w:ilvl="1" w:tplc="04190019">
      <w:start w:val="1"/>
      <w:numFmt w:val="lowerLetter"/>
      <w:lvlText w:val="%2."/>
      <w:lvlJc w:val="left"/>
      <w:pPr>
        <w:ind w:left="1023" w:hanging="360"/>
      </w:pPr>
    </w:lvl>
    <w:lvl w:ilvl="2" w:tplc="0419001B">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40" w15:restartNumberingAfterBreak="0">
    <w:nsid w:val="71EA6A6C"/>
    <w:multiLevelType w:val="hybridMultilevel"/>
    <w:tmpl w:val="8C88D9BA"/>
    <w:lvl w:ilvl="0" w:tplc="B0FAD5FC">
      <w:start w:val="1"/>
      <w:numFmt w:val="decimal"/>
      <w:lvlText w:val="%1."/>
      <w:lvlJc w:val="left"/>
      <w:pPr>
        <w:ind w:left="303" w:hanging="360"/>
      </w:pPr>
      <w:rPr>
        <w:rFonts w:hint="default"/>
      </w:rPr>
    </w:lvl>
    <w:lvl w:ilvl="1" w:tplc="04190019">
      <w:start w:val="1"/>
      <w:numFmt w:val="lowerLetter"/>
      <w:lvlText w:val="%2."/>
      <w:lvlJc w:val="left"/>
      <w:pPr>
        <w:ind w:left="1023" w:hanging="360"/>
      </w:pPr>
    </w:lvl>
    <w:lvl w:ilvl="2" w:tplc="0419001B">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41" w15:restartNumberingAfterBreak="0">
    <w:nsid w:val="7249331A"/>
    <w:multiLevelType w:val="hybridMultilevel"/>
    <w:tmpl w:val="025241C2"/>
    <w:lvl w:ilvl="0" w:tplc="F6DE4D9A">
      <w:start w:val="1"/>
      <w:numFmt w:val="decimal"/>
      <w:lvlText w:val="%1."/>
      <w:lvlJc w:val="left"/>
      <w:pPr>
        <w:tabs>
          <w:tab w:val="num" w:pos="720"/>
        </w:tabs>
        <w:ind w:left="720" w:hanging="360"/>
      </w:pPr>
      <w:rPr>
        <w:rFonts w:hint="default"/>
        <w:b w:val="0"/>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42" w15:restartNumberingAfterBreak="0">
    <w:nsid w:val="770F3D42"/>
    <w:multiLevelType w:val="hybridMultilevel"/>
    <w:tmpl w:val="E22061F4"/>
    <w:lvl w:ilvl="0" w:tplc="6D084C8A">
      <w:start w:val="1"/>
      <w:numFmt w:val="decimal"/>
      <w:lvlText w:val="4.%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9BC63EC"/>
    <w:multiLevelType w:val="hybridMultilevel"/>
    <w:tmpl w:val="8DC6922A"/>
    <w:lvl w:ilvl="0" w:tplc="12F2145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4" w15:restartNumberingAfterBreak="0">
    <w:nsid w:val="7E177948"/>
    <w:multiLevelType w:val="multilevel"/>
    <w:tmpl w:val="4C6E7D2E"/>
    <w:lvl w:ilvl="0">
      <w:start w:val="9"/>
      <w:numFmt w:val="decimal"/>
      <w:lvlText w:val="%1."/>
      <w:lvlJc w:val="left"/>
      <w:pPr>
        <w:tabs>
          <w:tab w:val="num" w:pos="420"/>
        </w:tabs>
        <w:ind w:left="420" w:hanging="420"/>
      </w:pPr>
      <w:rPr>
        <w:rFonts w:hint="default"/>
      </w:rPr>
    </w:lvl>
    <w:lvl w:ilvl="1">
      <w:start w:val="1"/>
      <w:numFmt w:val="decimal"/>
      <w:lvlText w:val="9.%2."/>
      <w:lvlJc w:val="left"/>
      <w:pPr>
        <w:tabs>
          <w:tab w:val="num" w:pos="2025"/>
        </w:tabs>
        <w:ind w:left="2025" w:hanging="720"/>
      </w:pPr>
      <w:rPr>
        <w:rFonts w:hint="default"/>
      </w:rPr>
    </w:lvl>
    <w:lvl w:ilvl="2">
      <w:start w:val="1"/>
      <w:numFmt w:val="decimal"/>
      <w:lvlText w:val="%1.%2.%3."/>
      <w:lvlJc w:val="left"/>
      <w:pPr>
        <w:tabs>
          <w:tab w:val="num" w:pos="3330"/>
        </w:tabs>
        <w:ind w:left="3330" w:hanging="720"/>
      </w:pPr>
      <w:rPr>
        <w:rFonts w:hint="default"/>
      </w:rPr>
    </w:lvl>
    <w:lvl w:ilvl="3">
      <w:start w:val="1"/>
      <w:numFmt w:val="decimal"/>
      <w:lvlText w:val="%1.%2.%3.%4."/>
      <w:lvlJc w:val="left"/>
      <w:pPr>
        <w:tabs>
          <w:tab w:val="num" w:pos="4995"/>
        </w:tabs>
        <w:ind w:left="4995" w:hanging="1080"/>
      </w:pPr>
      <w:rPr>
        <w:rFonts w:hint="default"/>
      </w:rPr>
    </w:lvl>
    <w:lvl w:ilvl="4">
      <w:start w:val="1"/>
      <w:numFmt w:val="decimal"/>
      <w:lvlText w:val="%1.%2.%3.%4.%5."/>
      <w:lvlJc w:val="left"/>
      <w:pPr>
        <w:tabs>
          <w:tab w:val="num" w:pos="6300"/>
        </w:tabs>
        <w:ind w:left="6300" w:hanging="1080"/>
      </w:pPr>
      <w:rPr>
        <w:rFonts w:hint="default"/>
      </w:rPr>
    </w:lvl>
    <w:lvl w:ilvl="5">
      <w:start w:val="1"/>
      <w:numFmt w:val="decimal"/>
      <w:lvlText w:val="%1.%2.%3.%4.%5.%6."/>
      <w:lvlJc w:val="left"/>
      <w:pPr>
        <w:tabs>
          <w:tab w:val="num" w:pos="7965"/>
        </w:tabs>
        <w:ind w:left="7965" w:hanging="1440"/>
      </w:pPr>
      <w:rPr>
        <w:rFonts w:hint="default"/>
      </w:rPr>
    </w:lvl>
    <w:lvl w:ilvl="6">
      <w:start w:val="1"/>
      <w:numFmt w:val="decimal"/>
      <w:lvlText w:val="%1.%2.%3.%4.%5.%6.%7."/>
      <w:lvlJc w:val="left"/>
      <w:pPr>
        <w:tabs>
          <w:tab w:val="num" w:pos="9630"/>
        </w:tabs>
        <w:ind w:left="9630" w:hanging="1800"/>
      </w:pPr>
      <w:rPr>
        <w:rFonts w:hint="default"/>
      </w:rPr>
    </w:lvl>
    <w:lvl w:ilvl="7">
      <w:start w:val="1"/>
      <w:numFmt w:val="decimal"/>
      <w:lvlText w:val="%1.%2.%3.%4.%5.%6.%7.%8."/>
      <w:lvlJc w:val="left"/>
      <w:pPr>
        <w:tabs>
          <w:tab w:val="num" w:pos="10935"/>
        </w:tabs>
        <w:ind w:left="10935" w:hanging="1800"/>
      </w:pPr>
      <w:rPr>
        <w:rFonts w:hint="default"/>
      </w:rPr>
    </w:lvl>
    <w:lvl w:ilvl="8">
      <w:start w:val="1"/>
      <w:numFmt w:val="decimal"/>
      <w:lvlText w:val="%1.%2.%3.%4.%5.%6.%7.%8.%9."/>
      <w:lvlJc w:val="left"/>
      <w:pPr>
        <w:tabs>
          <w:tab w:val="num" w:pos="12600"/>
        </w:tabs>
        <w:ind w:left="12600" w:hanging="2160"/>
      </w:pPr>
      <w:rPr>
        <w:rFonts w:hint="default"/>
      </w:rPr>
    </w:lvl>
  </w:abstractNum>
  <w:num w:numId="1">
    <w:abstractNumId w:val="26"/>
  </w:num>
  <w:num w:numId="2">
    <w:abstractNumId w:val="29"/>
  </w:num>
  <w:num w:numId="3">
    <w:abstractNumId w:val="44"/>
  </w:num>
  <w:num w:numId="4">
    <w:abstractNumId w:val="8"/>
  </w:num>
  <w:num w:numId="5">
    <w:abstractNumId w:val="38"/>
  </w:num>
  <w:num w:numId="6">
    <w:abstractNumId w:val="18"/>
  </w:num>
  <w:num w:numId="7">
    <w:abstractNumId w:val="42"/>
  </w:num>
  <w:num w:numId="8">
    <w:abstractNumId w:val="33"/>
  </w:num>
  <w:num w:numId="9">
    <w:abstractNumId w:val="32"/>
  </w:num>
  <w:num w:numId="10">
    <w:abstractNumId w:val="25"/>
  </w:num>
  <w:num w:numId="11">
    <w:abstractNumId w:val="0"/>
  </w:num>
  <w:num w:numId="12">
    <w:abstractNumId w:val="24"/>
  </w:num>
  <w:num w:numId="13">
    <w:abstractNumId w:val="36"/>
  </w:num>
  <w:num w:numId="14">
    <w:abstractNumId w:val="9"/>
  </w:num>
  <w:num w:numId="15">
    <w:abstractNumId w:val="23"/>
  </w:num>
  <w:num w:numId="16">
    <w:abstractNumId w:val="2"/>
  </w:num>
  <w:num w:numId="17">
    <w:abstractNumId w:val="11"/>
  </w:num>
  <w:num w:numId="18">
    <w:abstractNumId w:val="10"/>
  </w:num>
  <w:num w:numId="19">
    <w:abstractNumId w:val="4"/>
  </w:num>
  <w:num w:numId="20">
    <w:abstractNumId w:val="13"/>
  </w:num>
  <w:num w:numId="21">
    <w:abstractNumId w:val="28"/>
  </w:num>
  <w:num w:numId="22">
    <w:abstractNumId w:val="7"/>
  </w:num>
  <w:num w:numId="23">
    <w:abstractNumId w:val="35"/>
  </w:num>
  <w:num w:numId="24">
    <w:abstractNumId w:val="31"/>
  </w:num>
  <w:num w:numId="25">
    <w:abstractNumId w:val="3"/>
  </w:num>
  <w:num w:numId="26">
    <w:abstractNumId w:val="16"/>
  </w:num>
  <w:num w:numId="27">
    <w:abstractNumId w:val="14"/>
  </w:num>
  <w:num w:numId="28">
    <w:abstractNumId w:val="15"/>
  </w:num>
  <w:num w:numId="29">
    <w:abstractNumId w:val="3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5"/>
  </w:num>
  <w:num w:numId="33">
    <w:abstractNumId w:val="20"/>
  </w:num>
  <w:num w:numId="34">
    <w:abstractNumId w:val="1"/>
  </w:num>
  <w:num w:numId="35">
    <w:abstractNumId w:val="41"/>
  </w:num>
  <w:num w:numId="36">
    <w:abstractNumId w:val="40"/>
  </w:num>
  <w:num w:numId="37">
    <w:abstractNumId w:val="12"/>
  </w:num>
  <w:num w:numId="38">
    <w:abstractNumId w:val="37"/>
  </w:num>
  <w:num w:numId="39">
    <w:abstractNumId w:val="17"/>
  </w:num>
  <w:num w:numId="40">
    <w:abstractNumId w:val="34"/>
  </w:num>
  <w:num w:numId="41">
    <w:abstractNumId w:val="6"/>
  </w:num>
  <w:num w:numId="42">
    <w:abstractNumId w:val="43"/>
  </w:num>
  <w:num w:numId="43">
    <w:abstractNumId w:val="21"/>
  </w:num>
  <w:num w:numId="44">
    <w:abstractNumId w:val="22"/>
  </w:num>
  <w:num w:numId="45">
    <w:abstractNumId w:val="19"/>
  </w:num>
  <w:num w:numId="4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9D"/>
    <w:rsid w:val="00044C79"/>
    <w:rsid w:val="00045317"/>
    <w:rsid w:val="000602D1"/>
    <w:rsid w:val="000934B8"/>
    <w:rsid w:val="00096CA9"/>
    <w:rsid w:val="000A34F6"/>
    <w:rsid w:val="000A4975"/>
    <w:rsid w:val="000B75A8"/>
    <w:rsid w:val="000C245F"/>
    <w:rsid w:val="000C35C7"/>
    <w:rsid w:val="000C42F8"/>
    <w:rsid w:val="000D7CB5"/>
    <w:rsid w:val="00104EE5"/>
    <w:rsid w:val="001361BF"/>
    <w:rsid w:val="00151BB3"/>
    <w:rsid w:val="00181355"/>
    <w:rsid w:val="001B25D4"/>
    <w:rsid w:val="001E0BCA"/>
    <w:rsid w:val="001E0CAE"/>
    <w:rsid w:val="001E2BC1"/>
    <w:rsid w:val="001E5021"/>
    <w:rsid w:val="001F7DA4"/>
    <w:rsid w:val="00223EBD"/>
    <w:rsid w:val="00230EE8"/>
    <w:rsid w:val="00255B90"/>
    <w:rsid w:val="00270FEB"/>
    <w:rsid w:val="0028232D"/>
    <w:rsid w:val="002852B4"/>
    <w:rsid w:val="002A3397"/>
    <w:rsid w:val="002B16DF"/>
    <w:rsid w:val="002C63C0"/>
    <w:rsid w:val="002E50BD"/>
    <w:rsid w:val="00373409"/>
    <w:rsid w:val="00384F80"/>
    <w:rsid w:val="0039160C"/>
    <w:rsid w:val="003B5E69"/>
    <w:rsid w:val="0040028C"/>
    <w:rsid w:val="00441131"/>
    <w:rsid w:val="00456351"/>
    <w:rsid w:val="00472A33"/>
    <w:rsid w:val="004A7FF8"/>
    <w:rsid w:val="004B4363"/>
    <w:rsid w:val="004C2485"/>
    <w:rsid w:val="004F1236"/>
    <w:rsid w:val="00536EE4"/>
    <w:rsid w:val="0059775C"/>
    <w:rsid w:val="005C0135"/>
    <w:rsid w:val="005D7B65"/>
    <w:rsid w:val="00606081"/>
    <w:rsid w:val="00626CAA"/>
    <w:rsid w:val="00636B9D"/>
    <w:rsid w:val="00647679"/>
    <w:rsid w:val="00661709"/>
    <w:rsid w:val="006B1EF3"/>
    <w:rsid w:val="006C4F4C"/>
    <w:rsid w:val="006C65F7"/>
    <w:rsid w:val="006E4AC8"/>
    <w:rsid w:val="006F0A93"/>
    <w:rsid w:val="00701872"/>
    <w:rsid w:val="00746C6C"/>
    <w:rsid w:val="00780AE7"/>
    <w:rsid w:val="007A06C0"/>
    <w:rsid w:val="007B3654"/>
    <w:rsid w:val="00850F45"/>
    <w:rsid w:val="008743C6"/>
    <w:rsid w:val="008B4ADA"/>
    <w:rsid w:val="008E3EB2"/>
    <w:rsid w:val="008F0E96"/>
    <w:rsid w:val="00927F9B"/>
    <w:rsid w:val="00951625"/>
    <w:rsid w:val="0096777F"/>
    <w:rsid w:val="00971D16"/>
    <w:rsid w:val="00977A4B"/>
    <w:rsid w:val="009A0055"/>
    <w:rsid w:val="00A0118C"/>
    <w:rsid w:val="00A13AE2"/>
    <w:rsid w:val="00A45EE5"/>
    <w:rsid w:val="00A55043"/>
    <w:rsid w:val="00A8137B"/>
    <w:rsid w:val="00AD614A"/>
    <w:rsid w:val="00AE4021"/>
    <w:rsid w:val="00B36E90"/>
    <w:rsid w:val="00B51D5A"/>
    <w:rsid w:val="00C536D5"/>
    <w:rsid w:val="00C557DC"/>
    <w:rsid w:val="00CB1BD8"/>
    <w:rsid w:val="00CC4B9C"/>
    <w:rsid w:val="00D201C1"/>
    <w:rsid w:val="00D21E54"/>
    <w:rsid w:val="00D4051B"/>
    <w:rsid w:val="00D67396"/>
    <w:rsid w:val="00D74314"/>
    <w:rsid w:val="00D75F1A"/>
    <w:rsid w:val="00D85C5C"/>
    <w:rsid w:val="00DA55A0"/>
    <w:rsid w:val="00E23F02"/>
    <w:rsid w:val="00E3407E"/>
    <w:rsid w:val="00E4214D"/>
    <w:rsid w:val="00EA71CA"/>
    <w:rsid w:val="00EC7C30"/>
    <w:rsid w:val="00ED7A6E"/>
    <w:rsid w:val="00F51A55"/>
    <w:rsid w:val="00FA785B"/>
    <w:rsid w:val="00FC0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5189"/>
  <w15:chartTrackingRefBased/>
  <w15:docId w15:val="{7273BAB5-F339-4CC6-BBF9-C199AFD9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B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36B9D"/>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qFormat/>
    <w:rsid w:val="00636B9D"/>
    <w:pPr>
      <w:keepNext/>
      <w:spacing w:before="240" w:after="60"/>
      <w:outlineLvl w:val="1"/>
    </w:pPr>
    <w:rPr>
      <w:rFonts w:ascii="Arial" w:hAnsi="Arial"/>
      <w:b/>
      <w:bCs/>
      <w:i/>
      <w:iCs/>
      <w:sz w:val="28"/>
      <w:szCs w:val="28"/>
      <w:lang w:val="x-none"/>
    </w:rPr>
  </w:style>
  <w:style w:type="paragraph" w:styleId="5">
    <w:name w:val="heading 5"/>
    <w:aliases w:val="Подпункт,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
    <w:basedOn w:val="a"/>
    <w:next w:val="a"/>
    <w:link w:val="50"/>
    <w:qFormat/>
    <w:rsid w:val="00636B9D"/>
    <w:pPr>
      <w:spacing w:before="240" w:after="60"/>
      <w:outlineLvl w:val="4"/>
    </w:pPr>
    <w:rPr>
      <w:b/>
      <w:bCs/>
      <w:i/>
      <w:iCs/>
      <w:sz w:val="26"/>
      <w:szCs w:val="26"/>
      <w:lang w:val="x-none"/>
    </w:rPr>
  </w:style>
  <w:style w:type="paragraph" w:styleId="6">
    <w:name w:val="heading 6"/>
    <w:basedOn w:val="a"/>
    <w:next w:val="a"/>
    <w:link w:val="60"/>
    <w:uiPriority w:val="99"/>
    <w:qFormat/>
    <w:rsid w:val="00636B9D"/>
    <w:pPr>
      <w:spacing w:before="240" w:after="60"/>
      <w:outlineLvl w:val="5"/>
    </w:pPr>
    <w:rPr>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6B9D"/>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636B9D"/>
    <w:rPr>
      <w:rFonts w:ascii="Arial" w:eastAsia="Times New Roman" w:hAnsi="Arial" w:cs="Times New Roman"/>
      <w:b/>
      <w:bCs/>
      <w:i/>
      <w:iCs/>
      <w:sz w:val="28"/>
      <w:szCs w:val="28"/>
      <w:lang w:val="x-none" w:eastAsia="ru-RU"/>
    </w:rPr>
  </w:style>
  <w:style w:type="character" w:customStyle="1" w:styleId="50">
    <w:name w:val="Заголовок 5 Знак"/>
    <w:aliases w:val="Подпункт Знак,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
    <w:basedOn w:val="a0"/>
    <w:link w:val="5"/>
    <w:rsid w:val="00636B9D"/>
    <w:rPr>
      <w:rFonts w:ascii="Times New Roman" w:eastAsia="Times New Roman" w:hAnsi="Times New Roman" w:cs="Times New Roman"/>
      <w:b/>
      <w:bCs/>
      <w:i/>
      <w:iCs/>
      <w:sz w:val="26"/>
      <w:szCs w:val="26"/>
      <w:lang w:val="x-none" w:eastAsia="ru-RU"/>
    </w:rPr>
  </w:style>
  <w:style w:type="character" w:customStyle="1" w:styleId="60">
    <w:name w:val="Заголовок 6 Знак"/>
    <w:basedOn w:val="a0"/>
    <w:link w:val="6"/>
    <w:uiPriority w:val="99"/>
    <w:rsid w:val="00636B9D"/>
    <w:rPr>
      <w:rFonts w:ascii="Times New Roman" w:eastAsia="Times New Roman" w:hAnsi="Times New Roman" w:cs="Times New Roman"/>
      <w:b/>
      <w:bCs/>
      <w:sz w:val="20"/>
      <w:szCs w:val="20"/>
      <w:lang w:val="x-none" w:eastAsia="ru-RU"/>
    </w:rPr>
  </w:style>
  <w:style w:type="paragraph" w:styleId="a3">
    <w:name w:val="Body Text"/>
    <w:basedOn w:val="a"/>
    <w:link w:val="a4"/>
    <w:rsid w:val="00636B9D"/>
    <w:pPr>
      <w:jc w:val="both"/>
    </w:pPr>
    <w:rPr>
      <w:sz w:val="28"/>
      <w:lang w:val="x-none"/>
    </w:rPr>
  </w:style>
  <w:style w:type="character" w:customStyle="1" w:styleId="a4">
    <w:name w:val="Основной текст Знак"/>
    <w:basedOn w:val="a0"/>
    <w:link w:val="a3"/>
    <w:rsid w:val="00636B9D"/>
    <w:rPr>
      <w:rFonts w:ascii="Times New Roman" w:eastAsia="Times New Roman" w:hAnsi="Times New Roman" w:cs="Times New Roman"/>
      <w:sz w:val="28"/>
      <w:szCs w:val="24"/>
      <w:lang w:val="x-none" w:eastAsia="ru-RU"/>
    </w:rPr>
  </w:style>
  <w:style w:type="paragraph" w:customStyle="1" w:styleId="11">
    <w:name w:val="Название1"/>
    <w:basedOn w:val="a"/>
    <w:link w:val="a5"/>
    <w:qFormat/>
    <w:rsid w:val="00636B9D"/>
    <w:pPr>
      <w:jc w:val="center"/>
    </w:pPr>
    <w:rPr>
      <w:sz w:val="28"/>
      <w:szCs w:val="28"/>
      <w:lang w:val="x-none"/>
    </w:rPr>
  </w:style>
  <w:style w:type="character" w:customStyle="1" w:styleId="a5">
    <w:name w:val="Название Знак"/>
    <w:link w:val="11"/>
    <w:rsid w:val="00636B9D"/>
    <w:rPr>
      <w:rFonts w:ascii="Times New Roman" w:eastAsia="Times New Roman" w:hAnsi="Times New Roman" w:cs="Times New Roman"/>
      <w:sz w:val="28"/>
      <w:szCs w:val="28"/>
      <w:lang w:val="x-none" w:eastAsia="ru-RU"/>
    </w:rPr>
  </w:style>
  <w:style w:type="paragraph" w:styleId="a6">
    <w:name w:val="header"/>
    <w:basedOn w:val="a"/>
    <w:link w:val="a7"/>
    <w:rsid w:val="00636B9D"/>
    <w:pPr>
      <w:tabs>
        <w:tab w:val="center" w:pos="4677"/>
        <w:tab w:val="right" w:pos="9355"/>
      </w:tabs>
    </w:pPr>
    <w:rPr>
      <w:lang w:val="x-none"/>
    </w:rPr>
  </w:style>
  <w:style w:type="character" w:customStyle="1" w:styleId="a7">
    <w:name w:val="Верхний колонтитул Знак"/>
    <w:basedOn w:val="a0"/>
    <w:link w:val="a6"/>
    <w:rsid w:val="00636B9D"/>
    <w:rPr>
      <w:rFonts w:ascii="Times New Roman" w:eastAsia="Times New Roman" w:hAnsi="Times New Roman" w:cs="Times New Roman"/>
      <w:sz w:val="24"/>
      <w:szCs w:val="24"/>
      <w:lang w:val="x-none" w:eastAsia="ru-RU"/>
    </w:rPr>
  </w:style>
  <w:style w:type="character" w:styleId="a8">
    <w:name w:val="page number"/>
    <w:basedOn w:val="a0"/>
    <w:rsid w:val="00636B9D"/>
  </w:style>
  <w:style w:type="paragraph" w:customStyle="1" w:styleId="a9">
    <w:name w:val="Пункт"/>
    <w:basedOn w:val="a"/>
    <w:link w:val="12"/>
    <w:rsid w:val="00636B9D"/>
    <w:pPr>
      <w:spacing w:line="360" w:lineRule="auto"/>
      <w:jc w:val="both"/>
    </w:pPr>
    <w:rPr>
      <w:sz w:val="28"/>
      <w:szCs w:val="20"/>
    </w:rPr>
  </w:style>
  <w:style w:type="character" w:customStyle="1" w:styleId="12">
    <w:name w:val="Пункт Знак1"/>
    <w:link w:val="a9"/>
    <w:locked/>
    <w:rsid w:val="00636B9D"/>
    <w:rPr>
      <w:rFonts w:ascii="Times New Roman" w:eastAsia="Times New Roman" w:hAnsi="Times New Roman" w:cs="Times New Roman"/>
      <w:sz w:val="28"/>
      <w:szCs w:val="20"/>
      <w:lang w:eastAsia="ru-RU"/>
    </w:rPr>
  </w:style>
  <w:style w:type="paragraph" w:customStyle="1" w:styleId="13">
    <w:name w:val="Обычный (веб)1"/>
    <w:basedOn w:val="a"/>
    <w:link w:val="aa"/>
    <w:rsid w:val="00636B9D"/>
    <w:pPr>
      <w:spacing w:before="100" w:beforeAutospacing="1" w:after="100" w:afterAutospacing="1"/>
    </w:pPr>
    <w:rPr>
      <w:rFonts w:ascii="Tahoma" w:hAnsi="Tahoma"/>
      <w:sz w:val="20"/>
      <w:szCs w:val="20"/>
      <w:lang w:val="x-none" w:eastAsia="x-none"/>
    </w:rPr>
  </w:style>
  <w:style w:type="character" w:customStyle="1" w:styleId="aa">
    <w:name w:val="Обычный (веб) Знак"/>
    <w:link w:val="13"/>
    <w:rsid w:val="00636B9D"/>
    <w:rPr>
      <w:rFonts w:ascii="Tahoma" w:eastAsia="Times New Roman" w:hAnsi="Tahoma" w:cs="Times New Roman"/>
      <w:sz w:val="20"/>
      <w:szCs w:val="20"/>
      <w:lang w:val="x-none" w:eastAsia="x-none"/>
    </w:rPr>
  </w:style>
  <w:style w:type="paragraph" w:customStyle="1" w:styleId="-">
    <w:name w:val="Обычный-ава"/>
    <w:basedOn w:val="a"/>
    <w:uiPriority w:val="99"/>
    <w:rsid w:val="00636B9D"/>
    <w:pPr>
      <w:ind w:firstLine="709"/>
      <w:jc w:val="both"/>
    </w:pPr>
  </w:style>
  <w:style w:type="paragraph" w:styleId="ab">
    <w:name w:val="footer"/>
    <w:aliases w:val="Íèæíèé êîëîíòèòóë Çíàê,Нижний колонтитóë Çíàê"/>
    <w:basedOn w:val="a"/>
    <w:link w:val="ac"/>
    <w:uiPriority w:val="99"/>
    <w:rsid w:val="00636B9D"/>
    <w:pPr>
      <w:tabs>
        <w:tab w:val="center" w:pos="4677"/>
        <w:tab w:val="right" w:pos="9355"/>
      </w:tabs>
    </w:pPr>
    <w:rPr>
      <w:lang w:val="x-none"/>
    </w:rPr>
  </w:style>
  <w:style w:type="character" w:customStyle="1" w:styleId="ac">
    <w:name w:val="Нижний колонтитул Знак"/>
    <w:aliases w:val="Íèæíèé êîëîíòèòóë Çíàê Знак,Нижний колонтитóë Çíàê Знак"/>
    <w:basedOn w:val="a0"/>
    <w:link w:val="ab"/>
    <w:uiPriority w:val="99"/>
    <w:rsid w:val="00636B9D"/>
    <w:rPr>
      <w:rFonts w:ascii="Times New Roman" w:eastAsia="Times New Roman" w:hAnsi="Times New Roman" w:cs="Times New Roman"/>
      <w:sz w:val="24"/>
      <w:szCs w:val="24"/>
      <w:lang w:val="x-none" w:eastAsia="ru-RU"/>
    </w:rPr>
  </w:style>
  <w:style w:type="paragraph" w:customStyle="1" w:styleId="ad">
    <w:name w:val="a"/>
    <w:basedOn w:val="a"/>
    <w:rsid w:val="00636B9D"/>
    <w:pPr>
      <w:spacing w:line="360" w:lineRule="auto"/>
      <w:jc w:val="both"/>
    </w:pPr>
    <w:rPr>
      <w:rFonts w:eastAsia="Calibri"/>
      <w:sz w:val="28"/>
      <w:szCs w:val="28"/>
    </w:rPr>
  </w:style>
  <w:style w:type="character" w:customStyle="1" w:styleId="ae">
    <w:name w:val="Текст выноски Знак"/>
    <w:basedOn w:val="a0"/>
    <w:link w:val="af"/>
    <w:uiPriority w:val="99"/>
    <w:semiHidden/>
    <w:rsid w:val="00636B9D"/>
    <w:rPr>
      <w:rFonts w:ascii="Tahoma" w:eastAsia="Times New Roman" w:hAnsi="Tahoma" w:cs="Times New Roman"/>
      <w:sz w:val="16"/>
      <w:szCs w:val="16"/>
      <w:lang w:val="x-none" w:eastAsia="x-none"/>
    </w:rPr>
  </w:style>
  <w:style w:type="paragraph" w:styleId="af">
    <w:name w:val="Balloon Text"/>
    <w:basedOn w:val="a"/>
    <w:link w:val="ae"/>
    <w:uiPriority w:val="99"/>
    <w:semiHidden/>
    <w:unhideWhenUsed/>
    <w:rsid w:val="00636B9D"/>
    <w:rPr>
      <w:rFonts w:ascii="Tahoma" w:hAnsi="Tahoma"/>
      <w:sz w:val="16"/>
      <w:szCs w:val="16"/>
      <w:lang w:val="x-none" w:eastAsia="x-none"/>
    </w:rPr>
  </w:style>
  <w:style w:type="character" w:styleId="af0">
    <w:name w:val="annotation reference"/>
    <w:unhideWhenUsed/>
    <w:rsid w:val="00636B9D"/>
    <w:rPr>
      <w:sz w:val="16"/>
      <w:szCs w:val="16"/>
    </w:rPr>
  </w:style>
  <w:style w:type="paragraph" w:styleId="af1">
    <w:name w:val="annotation text"/>
    <w:basedOn w:val="a"/>
    <w:link w:val="af2"/>
    <w:unhideWhenUsed/>
    <w:rsid w:val="00636B9D"/>
    <w:rPr>
      <w:sz w:val="20"/>
      <w:szCs w:val="20"/>
      <w:lang w:val="x-none" w:eastAsia="x-none"/>
    </w:rPr>
  </w:style>
  <w:style w:type="character" w:customStyle="1" w:styleId="af2">
    <w:name w:val="Текст примечания Знак"/>
    <w:basedOn w:val="a0"/>
    <w:link w:val="af1"/>
    <w:rsid w:val="00636B9D"/>
    <w:rPr>
      <w:rFonts w:ascii="Times New Roman" w:eastAsia="Times New Roman" w:hAnsi="Times New Roman" w:cs="Times New Roman"/>
      <w:sz w:val="20"/>
      <w:szCs w:val="20"/>
      <w:lang w:val="x-none" w:eastAsia="x-none"/>
    </w:rPr>
  </w:style>
  <w:style w:type="character" w:customStyle="1" w:styleId="af3">
    <w:name w:val="Тема примечания Знак"/>
    <w:basedOn w:val="af2"/>
    <w:link w:val="af4"/>
    <w:uiPriority w:val="99"/>
    <w:semiHidden/>
    <w:rsid w:val="00636B9D"/>
    <w:rPr>
      <w:rFonts w:ascii="Times New Roman" w:eastAsia="Times New Roman" w:hAnsi="Times New Roman" w:cs="Times New Roman"/>
      <w:b/>
      <w:bCs/>
      <w:sz w:val="20"/>
      <w:szCs w:val="20"/>
      <w:lang w:val="x-none" w:eastAsia="x-none"/>
    </w:rPr>
  </w:style>
  <w:style w:type="paragraph" w:styleId="af4">
    <w:name w:val="annotation subject"/>
    <w:basedOn w:val="af1"/>
    <w:next w:val="af1"/>
    <w:link w:val="af3"/>
    <w:uiPriority w:val="99"/>
    <w:semiHidden/>
    <w:unhideWhenUsed/>
    <w:rsid w:val="00636B9D"/>
    <w:rPr>
      <w:b/>
      <w:bCs/>
    </w:rPr>
  </w:style>
  <w:style w:type="paragraph" w:styleId="af5">
    <w:name w:val="Revision"/>
    <w:hidden/>
    <w:uiPriority w:val="99"/>
    <w:semiHidden/>
    <w:rsid w:val="00636B9D"/>
    <w:pPr>
      <w:spacing w:after="0" w:line="240" w:lineRule="auto"/>
    </w:pPr>
    <w:rPr>
      <w:rFonts w:ascii="Times New Roman" w:eastAsia="Times New Roman" w:hAnsi="Times New Roman" w:cs="Times New Roman"/>
      <w:sz w:val="24"/>
      <w:szCs w:val="24"/>
      <w:lang w:eastAsia="ru-RU"/>
    </w:rPr>
  </w:style>
  <w:style w:type="character" w:styleId="af6">
    <w:name w:val="Hyperlink"/>
    <w:uiPriority w:val="99"/>
    <w:unhideWhenUsed/>
    <w:rsid w:val="00636B9D"/>
    <w:rPr>
      <w:color w:val="0000FF"/>
      <w:u w:val="single"/>
    </w:rPr>
  </w:style>
  <w:style w:type="paragraph" w:customStyle="1" w:styleId="14">
    <w:name w:val="заголовок 1"/>
    <w:basedOn w:val="a"/>
    <w:next w:val="a"/>
    <w:rsid w:val="00636B9D"/>
    <w:pPr>
      <w:keepNext/>
      <w:spacing w:before="240" w:after="60"/>
    </w:pPr>
    <w:rPr>
      <w:rFonts w:ascii="Arial" w:hAnsi="Arial"/>
      <w:b/>
      <w:kern w:val="28"/>
      <w:sz w:val="28"/>
      <w:szCs w:val="20"/>
    </w:rPr>
  </w:style>
  <w:style w:type="paragraph" w:customStyle="1" w:styleId="15">
    <w:name w:val="Обычный1"/>
    <w:basedOn w:val="a"/>
    <w:rsid w:val="00636B9D"/>
    <w:pPr>
      <w:jc w:val="both"/>
    </w:pPr>
    <w:rPr>
      <w:rFonts w:ascii="Arial Narrow" w:hAnsi="Arial Narrow"/>
      <w:szCs w:val="15"/>
      <w:lang w:eastAsia="en-US"/>
    </w:rPr>
  </w:style>
  <w:style w:type="paragraph" w:styleId="af7">
    <w:name w:val="footnote text"/>
    <w:aliases w:val="Сноска текст,Podrozdział"/>
    <w:basedOn w:val="a"/>
    <w:link w:val="af8"/>
    <w:uiPriority w:val="99"/>
    <w:rsid w:val="00636B9D"/>
    <w:rPr>
      <w:sz w:val="20"/>
      <w:szCs w:val="20"/>
      <w:lang w:val="x-none" w:eastAsia="x-none"/>
    </w:rPr>
  </w:style>
  <w:style w:type="character" w:customStyle="1" w:styleId="af8">
    <w:name w:val="Текст сноски Знак"/>
    <w:aliases w:val="Сноска текст Знак,Podrozdział Знак"/>
    <w:basedOn w:val="a0"/>
    <w:link w:val="af7"/>
    <w:uiPriority w:val="99"/>
    <w:rsid w:val="00636B9D"/>
    <w:rPr>
      <w:rFonts w:ascii="Times New Roman" w:eastAsia="Times New Roman" w:hAnsi="Times New Roman" w:cs="Times New Roman"/>
      <w:sz w:val="20"/>
      <w:szCs w:val="20"/>
      <w:lang w:val="x-none" w:eastAsia="x-none"/>
    </w:rPr>
  </w:style>
  <w:style w:type="character" w:styleId="af9">
    <w:name w:val="footnote reference"/>
    <w:aliases w:val="Сноска знак"/>
    <w:uiPriority w:val="99"/>
    <w:rsid w:val="00636B9D"/>
    <w:rPr>
      <w:vertAlign w:val="superscript"/>
    </w:rPr>
  </w:style>
  <w:style w:type="character" w:customStyle="1" w:styleId="bindvalue">
    <w:name w:val="bindvalue"/>
    <w:rsid w:val="00636B9D"/>
    <w:rPr>
      <w:rFonts w:ascii="Times New Roman" w:hAnsi="Times New Roman" w:cs="Times New Roman" w:hint="default"/>
      <w:sz w:val="24"/>
      <w:szCs w:val="24"/>
    </w:rPr>
  </w:style>
  <w:style w:type="paragraph" w:customStyle="1" w:styleId="-0">
    <w:name w:val="Подпись - Право"/>
    <w:basedOn w:val="a"/>
    <w:uiPriority w:val="99"/>
    <w:rsid w:val="00636B9D"/>
    <w:pPr>
      <w:spacing w:after="120"/>
    </w:pPr>
    <w:rPr>
      <w:szCs w:val="20"/>
    </w:rPr>
  </w:style>
  <w:style w:type="paragraph" w:styleId="afa">
    <w:name w:val="List Paragraph"/>
    <w:aliases w:val="Нумерованый список,List Paragraph1"/>
    <w:basedOn w:val="a"/>
    <w:link w:val="afb"/>
    <w:uiPriority w:val="34"/>
    <w:qFormat/>
    <w:rsid w:val="00636B9D"/>
    <w:pPr>
      <w:tabs>
        <w:tab w:val="left" w:pos="1701"/>
      </w:tabs>
      <w:spacing w:after="200" w:line="276" w:lineRule="auto"/>
      <w:ind w:left="720"/>
      <w:contextualSpacing/>
    </w:pPr>
    <w:rPr>
      <w:rFonts w:ascii="Calibri" w:hAnsi="Calibri"/>
      <w:sz w:val="22"/>
      <w:szCs w:val="22"/>
      <w:lang w:val="x-none" w:eastAsia="x-none"/>
    </w:rPr>
  </w:style>
  <w:style w:type="character" w:customStyle="1" w:styleId="afb">
    <w:name w:val="Абзац списка Знак"/>
    <w:aliases w:val="Нумерованый список Знак,List Paragraph1 Знак"/>
    <w:link w:val="afa"/>
    <w:uiPriority w:val="34"/>
    <w:rsid w:val="00636B9D"/>
    <w:rPr>
      <w:rFonts w:ascii="Calibri" w:eastAsia="Times New Roman" w:hAnsi="Calibri" w:cs="Times New Roman"/>
      <w:lang w:val="x-none" w:eastAsia="x-none"/>
    </w:rPr>
  </w:style>
  <w:style w:type="character" w:customStyle="1" w:styleId="afc">
    <w:name w:val="Основной текст с отступом Знак"/>
    <w:basedOn w:val="a0"/>
    <w:link w:val="afd"/>
    <w:uiPriority w:val="99"/>
    <w:semiHidden/>
    <w:rsid w:val="00636B9D"/>
    <w:rPr>
      <w:rFonts w:ascii="Times New Roman" w:eastAsia="Times New Roman" w:hAnsi="Times New Roman" w:cs="Times New Roman"/>
      <w:sz w:val="24"/>
      <w:szCs w:val="24"/>
      <w:lang w:val="x-none" w:eastAsia="x-none"/>
    </w:rPr>
  </w:style>
  <w:style w:type="paragraph" w:styleId="afd">
    <w:name w:val="Body Text Indent"/>
    <w:basedOn w:val="a"/>
    <w:link w:val="afc"/>
    <w:uiPriority w:val="99"/>
    <w:semiHidden/>
    <w:unhideWhenUsed/>
    <w:rsid w:val="00636B9D"/>
    <w:pPr>
      <w:spacing w:after="120"/>
      <w:ind w:left="283"/>
    </w:pPr>
    <w:rPr>
      <w:lang w:val="x-none" w:eastAsia="x-none"/>
    </w:rPr>
  </w:style>
  <w:style w:type="paragraph" w:customStyle="1" w:styleId="-1">
    <w:name w:val="Подпись - Лево"/>
    <w:basedOn w:val="a"/>
    <w:uiPriority w:val="99"/>
    <w:rsid w:val="00636B9D"/>
    <w:pPr>
      <w:spacing w:after="120"/>
    </w:pPr>
    <w:rPr>
      <w:szCs w:val="20"/>
    </w:rPr>
  </w:style>
  <w:style w:type="character" w:customStyle="1" w:styleId="16">
    <w:name w:val="Основной текст1"/>
    <w:rsid w:val="00636B9D"/>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style>
  <w:style w:type="character" w:customStyle="1" w:styleId="extended-textshort">
    <w:name w:val="extended-text__short"/>
    <w:rsid w:val="0063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8640">
      <w:bodyDiv w:val="1"/>
      <w:marLeft w:val="0"/>
      <w:marRight w:val="0"/>
      <w:marTop w:val="0"/>
      <w:marBottom w:val="0"/>
      <w:divBdr>
        <w:top w:val="none" w:sz="0" w:space="0" w:color="auto"/>
        <w:left w:val="none" w:sz="0" w:space="0" w:color="auto"/>
        <w:bottom w:val="none" w:sz="0" w:space="0" w:color="auto"/>
        <w:right w:val="none" w:sz="0" w:space="0" w:color="auto"/>
      </w:divBdr>
    </w:div>
    <w:div w:id="323435069">
      <w:bodyDiv w:val="1"/>
      <w:marLeft w:val="0"/>
      <w:marRight w:val="0"/>
      <w:marTop w:val="0"/>
      <w:marBottom w:val="0"/>
      <w:divBdr>
        <w:top w:val="none" w:sz="0" w:space="0" w:color="auto"/>
        <w:left w:val="none" w:sz="0" w:space="0" w:color="auto"/>
        <w:bottom w:val="none" w:sz="0" w:space="0" w:color="auto"/>
        <w:right w:val="none" w:sz="0" w:space="0" w:color="auto"/>
      </w:divBdr>
    </w:div>
    <w:div w:id="669797110">
      <w:bodyDiv w:val="1"/>
      <w:marLeft w:val="0"/>
      <w:marRight w:val="0"/>
      <w:marTop w:val="0"/>
      <w:marBottom w:val="0"/>
      <w:divBdr>
        <w:top w:val="none" w:sz="0" w:space="0" w:color="auto"/>
        <w:left w:val="none" w:sz="0" w:space="0" w:color="auto"/>
        <w:bottom w:val="none" w:sz="0" w:space="0" w:color="auto"/>
        <w:right w:val="none" w:sz="0" w:space="0" w:color="auto"/>
      </w:divBdr>
    </w:div>
    <w:div w:id="911507281">
      <w:bodyDiv w:val="1"/>
      <w:marLeft w:val="0"/>
      <w:marRight w:val="0"/>
      <w:marTop w:val="0"/>
      <w:marBottom w:val="0"/>
      <w:divBdr>
        <w:top w:val="none" w:sz="0" w:space="0" w:color="auto"/>
        <w:left w:val="none" w:sz="0" w:space="0" w:color="auto"/>
        <w:bottom w:val="none" w:sz="0" w:space="0" w:color="auto"/>
        <w:right w:val="none" w:sz="0" w:space="0" w:color="auto"/>
      </w:divBdr>
    </w:div>
    <w:div w:id="919675389">
      <w:bodyDiv w:val="1"/>
      <w:marLeft w:val="0"/>
      <w:marRight w:val="0"/>
      <w:marTop w:val="0"/>
      <w:marBottom w:val="0"/>
      <w:divBdr>
        <w:top w:val="none" w:sz="0" w:space="0" w:color="auto"/>
        <w:left w:val="none" w:sz="0" w:space="0" w:color="auto"/>
        <w:bottom w:val="none" w:sz="0" w:space="0" w:color="auto"/>
        <w:right w:val="none" w:sz="0" w:space="0" w:color="auto"/>
      </w:divBdr>
    </w:div>
    <w:div w:id="1261448207">
      <w:bodyDiv w:val="1"/>
      <w:marLeft w:val="0"/>
      <w:marRight w:val="0"/>
      <w:marTop w:val="0"/>
      <w:marBottom w:val="0"/>
      <w:divBdr>
        <w:top w:val="none" w:sz="0" w:space="0" w:color="auto"/>
        <w:left w:val="none" w:sz="0" w:space="0" w:color="auto"/>
        <w:bottom w:val="none" w:sz="0" w:space="0" w:color="auto"/>
        <w:right w:val="none" w:sz="0" w:space="0" w:color="auto"/>
      </w:divBdr>
    </w:div>
    <w:div w:id="1372193041">
      <w:bodyDiv w:val="1"/>
      <w:marLeft w:val="0"/>
      <w:marRight w:val="0"/>
      <w:marTop w:val="0"/>
      <w:marBottom w:val="0"/>
      <w:divBdr>
        <w:top w:val="none" w:sz="0" w:space="0" w:color="auto"/>
        <w:left w:val="none" w:sz="0" w:space="0" w:color="auto"/>
        <w:bottom w:val="none" w:sz="0" w:space="0" w:color="auto"/>
        <w:right w:val="none" w:sz="0" w:space="0" w:color="auto"/>
      </w:divBdr>
    </w:div>
    <w:div w:id="1466312959">
      <w:bodyDiv w:val="1"/>
      <w:marLeft w:val="0"/>
      <w:marRight w:val="0"/>
      <w:marTop w:val="0"/>
      <w:marBottom w:val="0"/>
      <w:divBdr>
        <w:top w:val="none" w:sz="0" w:space="0" w:color="auto"/>
        <w:left w:val="none" w:sz="0" w:space="0" w:color="auto"/>
        <w:bottom w:val="none" w:sz="0" w:space="0" w:color="auto"/>
        <w:right w:val="none" w:sz="0" w:space="0" w:color="auto"/>
      </w:divBdr>
    </w:div>
    <w:div w:id="16615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Малкина Елена Алексеевна</dc:creator>
  <cp:keywords/>
  <dc:description/>
  <cp:lastModifiedBy>Бобарева Л.Н.</cp:lastModifiedBy>
  <cp:revision>10</cp:revision>
  <dcterms:created xsi:type="dcterms:W3CDTF">2023-06-26T08:43:00Z</dcterms:created>
  <dcterms:modified xsi:type="dcterms:W3CDTF">2025-09-10T12:27:00Z</dcterms:modified>
</cp:coreProperties>
</file>